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E3A" w:rsidRPr="00D12EC2" w:rsidRDefault="00DB5E3A" w:rsidP="00DB5E3A">
      <w:pPr>
        <w:spacing w:after="0" w:line="360" w:lineRule="auto"/>
        <w:jc w:val="both"/>
        <w:rPr>
          <w:rFonts w:ascii="Palatino Linotype" w:hAnsi="Palatino Linotype"/>
          <w:b/>
          <w:sz w:val="23"/>
          <w:szCs w:val="23"/>
        </w:rPr>
      </w:pPr>
      <w:r w:rsidRPr="00D12EC2">
        <w:rPr>
          <w:rFonts w:ascii="Palatino Linotype" w:hAnsi="Palatino Linotype"/>
          <w:b/>
          <w:sz w:val="23"/>
          <w:szCs w:val="23"/>
        </w:rPr>
        <w:t>VOTO PARTI</w:t>
      </w:r>
      <w:r w:rsidRPr="00D12EC2">
        <w:rPr>
          <w:rFonts w:ascii="Palatino Linotype" w:hAnsi="Palatino Linotype"/>
          <w:b/>
          <w:sz w:val="23"/>
          <w:szCs w:val="23"/>
        </w:rPr>
        <w:t xml:space="preserve">CULAR CONCURRENTE QUE FORMULAN </w:t>
      </w:r>
      <w:r w:rsidRPr="00D12EC2">
        <w:rPr>
          <w:rFonts w:ascii="Palatino Linotype" w:hAnsi="Palatino Linotype"/>
          <w:b/>
          <w:sz w:val="23"/>
          <w:szCs w:val="23"/>
        </w:rPr>
        <w:t>L</w:t>
      </w:r>
      <w:r w:rsidRPr="00D12EC2">
        <w:rPr>
          <w:rFonts w:ascii="Palatino Linotype" w:hAnsi="Palatino Linotype"/>
          <w:b/>
          <w:sz w:val="23"/>
          <w:szCs w:val="23"/>
        </w:rPr>
        <w:t>OS</w:t>
      </w:r>
      <w:r w:rsidRPr="00D12EC2">
        <w:rPr>
          <w:rFonts w:ascii="Palatino Linotype" w:hAnsi="Palatino Linotype"/>
          <w:b/>
          <w:sz w:val="23"/>
          <w:szCs w:val="23"/>
        </w:rPr>
        <w:t xml:space="preserve"> COMISIONADO</w:t>
      </w:r>
      <w:r w:rsidRPr="00D12EC2">
        <w:rPr>
          <w:rFonts w:ascii="Palatino Linotype" w:hAnsi="Palatino Linotype"/>
          <w:b/>
          <w:sz w:val="23"/>
          <w:szCs w:val="23"/>
        </w:rPr>
        <w:t>S</w:t>
      </w:r>
      <w:r w:rsidRPr="00D12EC2">
        <w:rPr>
          <w:rFonts w:ascii="Palatino Linotype" w:hAnsi="Palatino Linotype"/>
          <w:b/>
          <w:sz w:val="23"/>
          <w:szCs w:val="23"/>
        </w:rPr>
        <w:t xml:space="preserve"> JAVIER MARTÍNEZ CRUZ</w:t>
      </w:r>
      <w:r w:rsidRPr="00D12EC2">
        <w:rPr>
          <w:rFonts w:ascii="Palatino Linotype" w:hAnsi="Palatino Linotype"/>
          <w:b/>
          <w:sz w:val="23"/>
          <w:szCs w:val="23"/>
        </w:rPr>
        <w:t>, ZULEMA MARTÍNEZ SÁNCHEZ Y LUIS GUSTAVO PARRA NORIEGA</w:t>
      </w:r>
      <w:r w:rsidRPr="00D12EC2">
        <w:rPr>
          <w:rFonts w:ascii="Palatino Linotype" w:hAnsi="Palatino Linotype"/>
          <w:b/>
          <w:sz w:val="23"/>
          <w:szCs w:val="23"/>
        </w:rPr>
        <w:t xml:space="preserve">, EN RELACIÓN CON LA RESOLUCIÓN DICTADA POR EL PLENO DEL INSTITUTO DE TRANSPARENCIA, ACCESO A LA INFORMACIÓN PÚBLICA Y PROTECCIÓN DE DATOS PERSONALES DEL ESTADO </w:t>
      </w:r>
      <w:r w:rsidRPr="00D12EC2">
        <w:rPr>
          <w:rFonts w:ascii="Palatino Linotype" w:hAnsi="Palatino Linotype"/>
          <w:b/>
          <w:sz w:val="23"/>
          <w:szCs w:val="23"/>
        </w:rPr>
        <w:t>DE MÉXICO Y MUNICIPIOS, EN LA CUADRA</w:t>
      </w:r>
      <w:r w:rsidRPr="00D12EC2">
        <w:rPr>
          <w:rFonts w:ascii="Palatino Linotype" w:hAnsi="Palatino Linotype"/>
          <w:b/>
          <w:sz w:val="23"/>
          <w:szCs w:val="23"/>
        </w:rPr>
        <w:t xml:space="preserve">GÉSIMA </w:t>
      </w:r>
      <w:r w:rsidRPr="00D12EC2">
        <w:rPr>
          <w:rFonts w:ascii="Palatino Linotype" w:hAnsi="Palatino Linotype"/>
          <w:b/>
          <w:sz w:val="23"/>
          <w:szCs w:val="23"/>
        </w:rPr>
        <w:t xml:space="preserve">QUINTA </w:t>
      </w:r>
      <w:r w:rsidRPr="00D12EC2">
        <w:rPr>
          <w:rFonts w:ascii="Palatino Linotype" w:hAnsi="Palatino Linotype"/>
          <w:b/>
          <w:sz w:val="23"/>
          <w:szCs w:val="23"/>
        </w:rPr>
        <w:t xml:space="preserve">SESIÓN ORDINARIA DEL </w:t>
      </w:r>
      <w:r w:rsidRPr="00D12EC2">
        <w:rPr>
          <w:rFonts w:ascii="Palatino Linotype" w:hAnsi="Palatino Linotype"/>
          <w:b/>
          <w:sz w:val="23"/>
          <w:szCs w:val="23"/>
        </w:rPr>
        <w:t xml:space="preserve">SEIS DE DICIEMBRE </w:t>
      </w:r>
      <w:r w:rsidRPr="00D12EC2">
        <w:rPr>
          <w:rFonts w:ascii="Palatino Linotype" w:hAnsi="Palatino Linotype"/>
          <w:b/>
          <w:sz w:val="23"/>
          <w:szCs w:val="23"/>
        </w:rPr>
        <w:t>DE DOS MIL DIECIOCHO, EN EL RECURSO DE REVISIÓN 0</w:t>
      </w:r>
      <w:r w:rsidRPr="00D12EC2">
        <w:rPr>
          <w:rFonts w:ascii="Palatino Linotype" w:hAnsi="Palatino Linotype"/>
          <w:b/>
          <w:sz w:val="23"/>
          <w:szCs w:val="23"/>
        </w:rPr>
        <w:t>3</w:t>
      </w:r>
      <w:r w:rsidR="00B85D0A" w:rsidRPr="00D12EC2">
        <w:rPr>
          <w:rFonts w:ascii="Palatino Linotype" w:hAnsi="Palatino Linotype"/>
          <w:b/>
          <w:sz w:val="23"/>
          <w:szCs w:val="23"/>
        </w:rPr>
        <w:t>902</w:t>
      </w:r>
      <w:r w:rsidRPr="00D12EC2">
        <w:rPr>
          <w:rFonts w:ascii="Palatino Linotype" w:hAnsi="Palatino Linotype"/>
          <w:b/>
          <w:sz w:val="23"/>
          <w:szCs w:val="23"/>
        </w:rPr>
        <w:t>/INFOEM/IP/RR/2018.</w:t>
      </w:r>
    </w:p>
    <w:p w:rsidR="00DB5E3A" w:rsidRPr="00D12EC2" w:rsidRDefault="00DB5E3A" w:rsidP="00DB5E3A">
      <w:pPr>
        <w:spacing w:after="0" w:line="240" w:lineRule="auto"/>
        <w:jc w:val="both"/>
        <w:rPr>
          <w:rFonts w:ascii="Palatino Linotype" w:hAnsi="Palatino Linotype"/>
          <w:b/>
          <w:sz w:val="23"/>
          <w:szCs w:val="23"/>
        </w:rPr>
      </w:pPr>
    </w:p>
    <w:p w:rsidR="00DB5E3A" w:rsidRPr="00D12EC2" w:rsidRDefault="00DB5E3A" w:rsidP="00DB5E3A">
      <w:pPr>
        <w:spacing w:after="0" w:line="360" w:lineRule="auto"/>
        <w:jc w:val="both"/>
        <w:rPr>
          <w:rFonts w:ascii="Palatino Linotype" w:hAnsi="Palatino Linotype"/>
          <w:sz w:val="23"/>
          <w:szCs w:val="23"/>
        </w:rPr>
      </w:pPr>
      <w:r w:rsidRPr="00D12EC2">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los Comisionados Javier Martínez Cruz </w:t>
      </w:r>
      <w:r w:rsidR="0045323E" w:rsidRPr="00D12EC2">
        <w:rPr>
          <w:rFonts w:ascii="Palatino Linotype" w:hAnsi="Palatino Linotype"/>
          <w:sz w:val="23"/>
          <w:szCs w:val="23"/>
        </w:rPr>
        <w:t>Zulema Martínez Sánchez y Luis Gustavo Parra Noriega</w:t>
      </w:r>
      <w:r w:rsidRPr="00D12EC2">
        <w:rPr>
          <w:rFonts w:ascii="Palatino Linotype" w:hAnsi="Palatino Linotype"/>
          <w:sz w:val="23"/>
          <w:szCs w:val="23"/>
        </w:rPr>
        <w:t xml:space="preserve"> emiten </w:t>
      </w:r>
      <w:r w:rsidRPr="00D12EC2">
        <w:rPr>
          <w:rFonts w:ascii="Palatino Linotype" w:hAnsi="Palatino Linotype"/>
          <w:b/>
          <w:sz w:val="23"/>
          <w:szCs w:val="23"/>
        </w:rPr>
        <w:t xml:space="preserve">VOTO PARTICULAR CONCURRENTE </w:t>
      </w:r>
      <w:r w:rsidRPr="00D12EC2">
        <w:rPr>
          <w:rFonts w:ascii="Palatino Linotype" w:hAnsi="Palatino Linotype"/>
          <w:sz w:val="23"/>
          <w:szCs w:val="23"/>
        </w:rPr>
        <w:t>respecto a la resolución dictada en el recurso de revisión número 0</w:t>
      </w:r>
      <w:r w:rsidR="0045323E" w:rsidRPr="00D12EC2">
        <w:rPr>
          <w:rFonts w:ascii="Palatino Linotype" w:hAnsi="Palatino Linotype"/>
          <w:sz w:val="23"/>
          <w:szCs w:val="23"/>
        </w:rPr>
        <w:t>3</w:t>
      </w:r>
      <w:r w:rsidR="00B85D0A" w:rsidRPr="00D12EC2">
        <w:rPr>
          <w:rFonts w:ascii="Palatino Linotype" w:hAnsi="Palatino Linotype"/>
          <w:sz w:val="23"/>
          <w:szCs w:val="23"/>
        </w:rPr>
        <w:t>902</w:t>
      </w:r>
      <w:r w:rsidRPr="00D12EC2">
        <w:rPr>
          <w:rFonts w:ascii="Palatino Linotype" w:hAnsi="Palatino Linotype"/>
          <w:sz w:val="23"/>
          <w:szCs w:val="23"/>
        </w:rPr>
        <w:t xml:space="preserve">/INFOEM/IP/RR/2018, pronunciada por el Pleno de este Instituto ante el proyecto presentado por la Comisionada Eva Abaid Yapur. </w:t>
      </w:r>
    </w:p>
    <w:p w:rsidR="00DB5E3A" w:rsidRPr="00D12EC2" w:rsidRDefault="00DB5E3A" w:rsidP="00DB5E3A">
      <w:pPr>
        <w:spacing w:after="0" w:line="360" w:lineRule="auto"/>
        <w:jc w:val="both"/>
        <w:rPr>
          <w:rFonts w:ascii="Palatino Linotype" w:hAnsi="Palatino Linotype"/>
          <w:sz w:val="23"/>
          <w:szCs w:val="23"/>
        </w:rPr>
      </w:pPr>
      <w:r w:rsidRPr="00D12EC2">
        <w:rPr>
          <w:rFonts w:ascii="Palatino Linotype" w:hAnsi="Palatino Linotype"/>
          <w:sz w:val="23"/>
          <w:szCs w:val="23"/>
        </w:rPr>
        <w:t>Antes de platear el punto sobre el cual versa el presente voto, es de suma importancia mencionar que los suscritos en términos generales coincidimos en el sentido de la resolución del recurso de revisión al rubro indicado, lo anterior es así como a continuación se explica:</w:t>
      </w:r>
    </w:p>
    <w:p w:rsidR="00DB5E3A" w:rsidRPr="00D12EC2" w:rsidRDefault="00DB5E3A" w:rsidP="00DB5E3A">
      <w:pPr>
        <w:spacing w:before="240" w:after="240" w:line="360" w:lineRule="auto"/>
        <w:jc w:val="both"/>
        <w:rPr>
          <w:rFonts w:ascii="Palatino Linotype" w:hAnsi="Palatino Linotype"/>
          <w:sz w:val="23"/>
          <w:szCs w:val="23"/>
        </w:rPr>
      </w:pPr>
      <w:r w:rsidRPr="00D12EC2">
        <w:rPr>
          <w:rFonts w:ascii="Palatino Linotype" w:hAnsi="Palatino Linotype"/>
          <w:sz w:val="23"/>
          <w:szCs w:val="23"/>
        </w:rPr>
        <w:lastRenderedPageBreak/>
        <w:t xml:space="preserve">De manera previa a la emisión del presente voto, cabe precisar que la materia en que radicó </w:t>
      </w:r>
      <w:r w:rsidR="0045323E" w:rsidRPr="00D12EC2">
        <w:rPr>
          <w:rFonts w:ascii="Palatino Linotype" w:hAnsi="Palatino Linotype"/>
          <w:sz w:val="23"/>
          <w:szCs w:val="23"/>
        </w:rPr>
        <w:t xml:space="preserve">el </w:t>
      </w:r>
      <w:r w:rsidRPr="00D12EC2">
        <w:rPr>
          <w:rFonts w:ascii="Palatino Linotype" w:hAnsi="Palatino Linotype"/>
          <w:sz w:val="23"/>
          <w:szCs w:val="23"/>
        </w:rPr>
        <w:t>recurso de revisión, lo fue en que se proporcionara por parte de</w:t>
      </w:r>
      <w:r w:rsidR="0045323E" w:rsidRPr="00D12EC2">
        <w:rPr>
          <w:rFonts w:ascii="Palatino Linotype" w:hAnsi="Palatino Linotype"/>
          <w:sz w:val="23"/>
          <w:szCs w:val="23"/>
        </w:rPr>
        <w:t>l</w:t>
      </w:r>
      <w:r w:rsidRPr="00D12EC2">
        <w:rPr>
          <w:rFonts w:ascii="Palatino Linotype" w:hAnsi="Palatino Linotype"/>
          <w:sz w:val="23"/>
          <w:szCs w:val="23"/>
        </w:rPr>
        <w:t xml:space="preserve"> </w:t>
      </w:r>
      <w:r w:rsidR="0045323E" w:rsidRPr="00D12EC2">
        <w:rPr>
          <w:rFonts w:ascii="Palatino Linotype" w:hAnsi="Palatino Linotype"/>
          <w:b/>
          <w:sz w:val="23"/>
          <w:szCs w:val="23"/>
        </w:rPr>
        <w:t xml:space="preserve">Ayuntamiento de </w:t>
      </w:r>
      <w:r w:rsidR="0080705E" w:rsidRPr="00D12EC2">
        <w:rPr>
          <w:rFonts w:ascii="Palatino Linotype" w:hAnsi="Palatino Linotype"/>
          <w:b/>
          <w:sz w:val="23"/>
          <w:szCs w:val="23"/>
        </w:rPr>
        <w:t xml:space="preserve">Cuautitlán Izcalli </w:t>
      </w:r>
      <w:r w:rsidRPr="00D12EC2">
        <w:rPr>
          <w:rFonts w:ascii="Palatino Linotype" w:hAnsi="Palatino Linotype"/>
          <w:sz w:val="23"/>
          <w:szCs w:val="23"/>
        </w:rPr>
        <w:t>lo siguiente:</w:t>
      </w:r>
    </w:p>
    <w:p w:rsidR="00DB5E3A" w:rsidRPr="00D12EC2" w:rsidRDefault="0080705E" w:rsidP="00DB5E3A">
      <w:pPr>
        <w:spacing w:after="0" w:line="240" w:lineRule="auto"/>
        <w:ind w:left="851" w:right="851"/>
        <w:jc w:val="both"/>
        <w:rPr>
          <w:rFonts w:ascii="Palatino Linotype" w:hAnsi="Palatino Linotype"/>
          <w:i/>
          <w:sz w:val="21"/>
          <w:szCs w:val="21"/>
          <w:lang w:val="es-ES"/>
        </w:rPr>
      </w:pPr>
      <w:r w:rsidRPr="00D12EC2">
        <w:rPr>
          <w:rFonts w:ascii="Palatino Linotype" w:hAnsi="Palatino Linotype"/>
          <w:b/>
          <w:bCs/>
          <w:i/>
          <w:sz w:val="21"/>
          <w:szCs w:val="21"/>
        </w:rPr>
        <w:t>00296/CUAUTIZC/IP/2018</w:t>
      </w:r>
      <w:r w:rsidR="00DB5E3A" w:rsidRPr="00D12EC2">
        <w:rPr>
          <w:rFonts w:ascii="Palatino Linotype" w:hAnsi="Palatino Linotype"/>
          <w:b/>
          <w:bCs/>
          <w:i/>
          <w:sz w:val="21"/>
          <w:szCs w:val="21"/>
          <w:lang w:val="es-ES"/>
        </w:rPr>
        <w:t>:</w:t>
      </w:r>
      <w:r w:rsidR="00DB5E3A" w:rsidRPr="00D12EC2">
        <w:rPr>
          <w:rFonts w:ascii="Palatino Linotype" w:hAnsi="Palatino Linotype"/>
          <w:i/>
          <w:sz w:val="21"/>
          <w:szCs w:val="21"/>
          <w:lang w:val="es-ES"/>
        </w:rPr>
        <w:t xml:space="preserve"> </w:t>
      </w:r>
    </w:p>
    <w:p w:rsidR="00DB5E3A" w:rsidRPr="00D12EC2" w:rsidRDefault="00DB5E3A" w:rsidP="00DB5E3A">
      <w:pPr>
        <w:spacing w:after="0" w:line="240" w:lineRule="auto"/>
        <w:ind w:left="851" w:right="851"/>
        <w:jc w:val="both"/>
        <w:rPr>
          <w:rFonts w:ascii="Palatino Linotype" w:hAnsi="Palatino Linotype"/>
          <w:i/>
          <w:sz w:val="21"/>
          <w:szCs w:val="21"/>
          <w:lang w:val="es-ES"/>
        </w:rPr>
      </w:pPr>
      <w:r w:rsidRPr="00D12EC2">
        <w:rPr>
          <w:rFonts w:ascii="Palatino Linotype" w:hAnsi="Palatino Linotype"/>
          <w:i/>
          <w:sz w:val="21"/>
          <w:szCs w:val="21"/>
          <w:lang w:val="es-ES"/>
        </w:rPr>
        <w:t>“</w:t>
      </w:r>
      <w:r w:rsidR="0080705E" w:rsidRPr="00D12EC2">
        <w:rPr>
          <w:rFonts w:ascii="Palatino Linotype" w:hAnsi="Palatino Linotype"/>
          <w:b/>
          <w:i/>
          <w:sz w:val="21"/>
          <w:szCs w:val="21"/>
          <w:u w:val="single"/>
        </w:rPr>
        <w:t>Solicito la nómina de las dos quincenas de marzo 2018</w:t>
      </w:r>
      <w:r w:rsidR="0080705E" w:rsidRPr="00D12EC2">
        <w:rPr>
          <w:rFonts w:ascii="Palatino Linotype" w:hAnsi="Palatino Linotype"/>
          <w:i/>
          <w:sz w:val="21"/>
          <w:szCs w:val="21"/>
        </w:rPr>
        <w:t xml:space="preserve">, con el nombre de cada servidor público y funcionario, su </w:t>
      </w:r>
      <w:r w:rsidR="0080705E" w:rsidRPr="00D12EC2">
        <w:rPr>
          <w:rFonts w:ascii="Palatino Linotype" w:hAnsi="Palatino Linotype"/>
          <w:b/>
          <w:i/>
          <w:sz w:val="21"/>
          <w:szCs w:val="21"/>
          <w:u w:val="single"/>
        </w:rPr>
        <w:t>sueldo y salario bruto sin excedentes o compensaciones</w:t>
      </w:r>
      <w:r w:rsidR="0080705E" w:rsidRPr="00D12EC2">
        <w:rPr>
          <w:rFonts w:ascii="Palatino Linotype" w:hAnsi="Palatino Linotype"/>
          <w:i/>
          <w:sz w:val="21"/>
          <w:szCs w:val="21"/>
        </w:rPr>
        <w:t xml:space="preserve">. </w:t>
      </w:r>
      <w:r w:rsidR="0080705E" w:rsidRPr="00D12EC2">
        <w:rPr>
          <w:rFonts w:ascii="Palatino Linotype" w:hAnsi="Palatino Linotype"/>
          <w:b/>
          <w:i/>
          <w:sz w:val="21"/>
          <w:szCs w:val="21"/>
          <w:u w:val="single"/>
        </w:rPr>
        <w:t>Solicito la nómina de las dos quincenas de marzo 2018</w:t>
      </w:r>
      <w:r w:rsidR="0080705E" w:rsidRPr="00D12EC2">
        <w:rPr>
          <w:rFonts w:ascii="Palatino Linotype" w:hAnsi="Palatino Linotype"/>
          <w:i/>
          <w:sz w:val="21"/>
          <w:szCs w:val="21"/>
        </w:rPr>
        <w:t xml:space="preserve">, con el nombre de cada servidor público y funcionario y </w:t>
      </w:r>
      <w:r w:rsidR="0080705E" w:rsidRPr="00D12EC2">
        <w:rPr>
          <w:rFonts w:ascii="Palatino Linotype" w:hAnsi="Palatino Linotype"/>
          <w:b/>
          <w:i/>
          <w:sz w:val="21"/>
          <w:szCs w:val="21"/>
        </w:rPr>
        <w:t xml:space="preserve">todos los conceptos que forman parte del sobresueldo, compensaciones, horas extras, comisiones, apoyos escolares, vales, apoyos en general, excedentes y similares de cada persona en la nómina, lista de raya, sindicalizados, personal de confianza, </w:t>
      </w:r>
      <w:r w:rsidR="0080705E" w:rsidRPr="00D12EC2">
        <w:rPr>
          <w:rFonts w:ascii="Palatino Linotype" w:hAnsi="Palatino Linotype"/>
          <w:b/>
          <w:i/>
          <w:sz w:val="21"/>
          <w:szCs w:val="21"/>
          <w:u w:val="single"/>
        </w:rPr>
        <w:t>policía</w:t>
      </w:r>
      <w:r w:rsidR="0080705E" w:rsidRPr="00D12EC2">
        <w:rPr>
          <w:rFonts w:ascii="Palatino Linotype" w:hAnsi="Palatino Linotype"/>
          <w:b/>
          <w:i/>
          <w:sz w:val="21"/>
          <w:szCs w:val="21"/>
        </w:rPr>
        <w:t xml:space="preserve"> y similares</w:t>
      </w:r>
      <w:r w:rsidRPr="00D12EC2">
        <w:rPr>
          <w:rFonts w:ascii="Palatino Linotype" w:hAnsi="Palatino Linotype"/>
          <w:i/>
          <w:sz w:val="21"/>
          <w:szCs w:val="21"/>
          <w:lang w:val="es-ES"/>
        </w:rPr>
        <w:t>” (sic)</w:t>
      </w:r>
    </w:p>
    <w:p w:rsidR="00DB5E3A" w:rsidRPr="00D12EC2" w:rsidRDefault="00DB5E3A" w:rsidP="00DB5E3A">
      <w:pPr>
        <w:spacing w:after="0" w:line="240" w:lineRule="auto"/>
        <w:ind w:left="851" w:right="851"/>
        <w:jc w:val="both"/>
        <w:rPr>
          <w:rFonts w:ascii="Palatino Linotype" w:hAnsi="Palatino Linotype"/>
          <w:i/>
          <w:sz w:val="21"/>
          <w:szCs w:val="21"/>
          <w:lang w:val="es-ES"/>
        </w:rPr>
      </w:pPr>
      <w:r w:rsidRPr="00D12EC2">
        <w:rPr>
          <w:rFonts w:ascii="Palatino Linotype" w:hAnsi="Palatino Linotype"/>
          <w:i/>
          <w:sz w:val="21"/>
          <w:szCs w:val="21"/>
          <w:lang w:val="es-ES"/>
        </w:rPr>
        <w:t>Énfasis añadido.</w:t>
      </w:r>
    </w:p>
    <w:p w:rsidR="00DB5E3A" w:rsidRPr="00D12EC2" w:rsidRDefault="00DB5E3A" w:rsidP="0045323E">
      <w:pPr>
        <w:spacing w:after="0" w:line="240" w:lineRule="auto"/>
        <w:ind w:right="851"/>
        <w:jc w:val="both"/>
        <w:rPr>
          <w:rFonts w:ascii="Palatino Linotype" w:hAnsi="Palatino Linotype"/>
          <w:i/>
          <w:sz w:val="21"/>
          <w:szCs w:val="21"/>
          <w:lang w:val="es-ES"/>
        </w:rPr>
      </w:pPr>
    </w:p>
    <w:p w:rsidR="00DB5E3A" w:rsidRPr="00D12EC2" w:rsidRDefault="00DB5E3A" w:rsidP="00DB5E3A">
      <w:pPr>
        <w:spacing w:after="0" w:line="240" w:lineRule="auto"/>
        <w:ind w:left="851" w:right="851"/>
        <w:jc w:val="both"/>
        <w:rPr>
          <w:rFonts w:ascii="Palatino Linotype" w:hAnsi="Palatino Linotype"/>
          <w:i/>
          <w:sz w:val="21"/>
          <w:szCs w:val="21"/>
        </w:rPr>
      </w:pPr>
    </w:p>
    <w:p w:rsidR="007A22E2" w:rsidRPr="00D12EC2" w:rsidRDefault="00DB5E3A" w:rsidP="00DB5E3A">
      <w:pPr>
        <w:spacing w:after="0" w:line="360" w:lineRule="auto"/>
        <w:jc w:val="both"/>
        <w:rPr>
          <w:rFonts w:ascii="Palatino Linotype" w:hAnsi="Palatino Linotype"/>
          <w:sz w:val="23"/>
          <w:szCs w:val="23"/>
        </w:rPr>
      </w:pPr>
      <w:r w:rsidRPr="00D12EC2">
        <w:rPr>
          <w:rFonts w:ascii="Palatino Linotype" w:hAnsi="Palatino Linotype"/>
          <w:sz w:val="23"/>
          <w:szCs w:val="23"/>
        </w:rPr>
        <w:t>Por otra parte debe precisarse que una vez que fue substanciado el recurso de</w:t>
      </w:r>
      <w:r w:rsidR="007A22E2" w:rsidRPr="00D12EC2">
        <w:rPr>
          <w:rFonts w:ascii="Palatino Linotype" w:hAnsi="Palatino Linotype"/>
          <w:sz w:val="23"/>
          <w:szCs w:val="23"/>
        </w:rPr>
        <w:t xml:space="preserve"> revisión al rubro indicado, en los resolutivos PRIMERO y SEGUNDO de la resolución se determinó lo siguiente:</w:t>
      </w:r>
    </w:p>
    <w:p w:rsidR="007A22E2" w:rsidRPr="00D12EC2" w:rsidRDefault="007A22E2" w:rsidP="007A22E2">
      <w:pPr>
        <w:spacing w:after="0" w:line="240" w:lineRule="auto"/>
        <w:ind w:left="851" w:right="851"/>
        <w:jc w:val="both"/>
        <w:rPr>
          <w:rFonts w:ascii="Palatino Linotype" w:hAnsi="Palatino Linotype" w:cs="Arial"/>
          <w:i/>
          <w:lang w:eastAsia="es-MX"/>
        </w:rPr>
      </w:pPr>
    </w:p>
    <w:p w:rsidR="008363D6" w:rsidRPr="00D12EC2" w:rsidRDefault="007A22E2" w:rsidP="008363D6">
      <w:pPr>
        <w:spacing w:after="0" w:line="240" w:lineRule="auto"/>
        <w:ind w:left="851" w:right="851"/>
        <w:rPr>
          <w:rFonts w:ascii="Palatino Linotype" w:hAnsi="Palatino Linotype" w:cs="Arial"/>
          <w:i/>
          <w:sz w:val="21"/>
          <w:szCs w:val="21"/>
          <w:lang w:eastAsia="es-MX"/>
        </w:rPr>
      </w:pPr>
      <w:r w:rsidRPr="00D12EC2">
        <w:rPr>
          <w:rFonts w:ascii="Palatino Linotype" w:hAnsi="Palatino Linotype" w:cs="Arial"/>
          <w:i/>
          <w:sz w:val="21"/>
          <w:szCs w:val="21"/>
          <w:lang w:eastAsia="es-MX"/>
        </w:rPr>
        <w:t>“</w:t>
      </w:r>
      <w:r w:rsidR="008363D6" w:rsidRPr="00D12EC2">
        <w:rPr>
          <w:rFonts w:ascii="Palatino Linotype" w:hAnsi="Palatino Linotype" w:cs="Arial"/>
          <w:b/>
          <w:i/>
          <w:sz w:val="21"/>
          <w:szCs w:val="21"/>
          <w:lang w:eastAsia="es-MX"/>
        </w:rPr>
        <w:t>PRIMERO</w:t>
      </w:r>
      <w:r w:rsidR="008363D6" w:rsidRPr="00D12EC2">
        <w:rPr>
          <w:rFonts w:ascii="Palatino Linotype" w:eastAsia="Times New Roman" w:hAnsi="Palatino Linotype" w:cs="Arial"/>
          <w:sz w:val="21"/>
          <w:szCs w:val="21"/>
          <w:lang w:eastAsia="es-ES"/>
        </w:rPr>
        <w:t xml:space="preserve">. </w:t>
      </w:r>
      <w:r w:rsidR="008363D6" w:rsidRPr="00D12EC2">
        <w:rPr>
          <w:rFonts w:ascii="Palatino Linotype" w:hAnsi="Palatino Linotype" w:cs="Arial"/>
          <w:i/>
          <w:sz w:val="21"/>
          <w:szCs w:val="21"/>
          <w:lang w:eastAsia="es-MX"/>
        </w:rPr>
        <w:t xml:space="preserve">Resultan </w:t>
      </w:r>
      <w:r w:rsidR="008363D6" w:rsidRPr="00D12EC2">
        <w:rPr>
          <w:rFonts w:ascii="Palatino Linotype" w:hAnsi="Palatino Linotype" w:cs="Arial"/>
          <w:b/>
          <w:i/>
          <w:sz w:val="21"/>
          <w:szCs w:val="21"/>
          <w:lang w:eastAsia="es-MX"/>
        </w:rPr>
        <w:t>fundadas</w:t>
      </w:r>
      <w:r w:rsidR="008363D6" w:rsidRPr="00D12EC2">
        <w:rPr>
          <w:rFonts w:ascii="Palatino Linotype" w:hAnsi="Palatino Linotype" w:cs="Arial"/>
          <w:i/>
          <w:sz w:val="21"/>
          <w:szCs w:val="21"/>
          <w:lang w:eastAsia="es-MX"/>
        </w:rPr>
        <w:t xml:space="preserve"> las razones o motivos de inconformidad hechas valer por </w:t>
      </w:r>
      <w:r w:rsidR="008363D6" w:rsidRPr="00D12EC2">
        <w:rPr>
          <w:rFonts w:ascii="Palatino Linotype" w:hAnsi="Palatino Linotype" w:cs="Arial"/>
          <w:b/>
          <w:i/>
          <w:sz w:val="21"/>
          <w:szCs w:val="21"/>
          <w:lang w:eastAsia="es-MX"/>
        </w:rPr>
        <w:t>EL RECURRENTE</w:t>
      </w:r>
      <w:r w:rsidR="008363D6" w:rsidRPr="00D12EC2">
        <w:rPr>
          <w:rFonts w:ascii="Palatino Linotype" w:hAnsi="Palatino Linotype" w:cs="Arial"/>
          <w:i/>
          <w:sz w:val="21"/>
          <w:szCs w:val="21"/>
          <w:lang w:eastAsia="es-MX"/>
        </w:rPr>
        <w:t xml:space="preserve"> en términos del Considerando </w:t>
      </w:r>
      <w:r w:rsidR="008363D6" w:rsidRPr="00D12EC2">
        <w:rPr>
          <w:rFonts w:ascii="Palatino Linotype" w:hAnsi="Palatino Linotype" w:cs="Arial"/>
          <w:b/>
          <w:i/>
          <w:sz w:val="21"/>
          <w:szCs w:val="21"/>
          <w:lang w:eastAsia="es-MX"/>
        </w:rPr>
        <w:t>QUINTO</w:t>
      </w:r>
      <w:r w:rsidR="008363D6" w:rsidRPr="00D12EC2">
        <w:rPr>
          <w:rFonts w:ascii="Palatino Linotype" w:hAnsi="Palatino Linotype" w:cs="Arial"/>
          <w:i/>
          <w:sz w:val="21"/>
          <w:szCs w:val="21"/>
          <w:lang w:eastAsia="es-MX"/>
        </w:rPr>
        <w:t xml:space="preserve"> de la presente resolución.</w:t>
      </w:r>
    </w:p>
    <w:p w:rsidR="008363D6" w:rsidRPr="00D12EC2" w:rsidRDefault="008363D6" w:rsidP="008363D6">
      <w:pPr>
        <w:spacing w:after="0" w:line="240" w:lineRule="auto"/>
        <w:ind w:left="851" w:right="851"/>
        <w:rPr>
          <w:rFonts w:ascii="Palatino Linotype" w:hAnsi="Palatino Linotype" w:cs="Arial"/>
          <w:i/>
          <w:sz w:val="21"/>
          <w:szCs w:val="21"/>
          <w:lang w:eastAsia="es-MX"/>
        </w:rPr>
      </w:pPr>
    </w:p>
    <w:p w:rsidR="008363D6" w:rsidRPr="00D12EC2" w:rsidRDefault="008363D6" w:rsidP="008363D6">
      <w:pPr>
        <w:spacing w:after="0" w:line="240" w:lineRule="auto"/>
        <w:ind w:left="851" w:right="851"/>
        <w:rPr>
          <w:rFonts w:ascii="Palatino Linotype" w:hAnsi="Palatino Linotype" w:cs="Arial"/>
          <w:i/>
          <w:sz w:val="21"/>
          <w:szCs w:val="21"/>
          <w:lang w:eastAsia="es-MX"/>
        </w:rPr>
      </w:pPr>
      <w:r w:rsidRPr="00D12EC2">
        <w:rPr>
          <w:rFonts w:ascii="Palatino Linotype" w:hAnsi="Palatino Linotype" w:cs="Arial"/>
          <w:b/>
          <w:i/>
          <w:sz w:val="21"/>
          <w:szCs w:val="21"/>
          <w:lang w:eastAsia="es-MX"/>
        </w:rPr>
        <w:t xml:space="preserve">SEGUNDO. </w:t>
      </w:r>
      <w:r w:rsidRPr="00D12EC2">
        <w:rPr>
          <w:rFonts w:ascii="Palatino Linotype" w:hAnsi="Palatino Linotype" w:cs="Arial"/>
          <w:i/>
          <w:sz w:val="21"/>
          <w:szCs w:val="21"/>
          <w:lang w:eastAsia="es-MX"/>
        </w:rPr>
        <w:t xml:space="preserve">Se </w:t>
      </w:r>
      <w:r w:rsidRPr="00D12EC2">
        <w:rPr>
          <w:rFonts w:ascii="Palatino Linotype" w:hAnsi="Palatino Linotype" w:cs="Arial"/>
          <w:b/>
          <w:i/>
          <w:sz w:val="21"/>
          <w:szCs w:val="21"/>
          <w:lang w:eastAsia="es-MX"/>
        </w:rPr>
        <w:t xml:space="preserve">REVOCA </w:t>
      </w:r>
      <w:r w:rsidRPr="00D12EC2">
        <w:rPr>
          <w:rFonts w:ascii="Palatino Linotype" w:hAnsi="Palatino Linotype" w:cs="Arial"/>
          <w:i/>
          <w:sz w:val="21"/>
          <w:szCs w:val="21"/>
          <w:lang w:eastAsia="es-MX"/>
        </w:rPr>
        <w:t xml:space="preserve">la respuesta del </w:t>
      </w:r>
      <w:r w:rsidRPr="00D12EC2">
        <w:rPr>
          <w:rFonts w:ascii="Palatino Linotype" w:hAnsi="Palatino Linotype" w:cs="Arial"/>
          <w:b/>
          <w:i/>
          <w:sz w:val="21"/>
          <w:szCs w:val="21"/>
          <w:lang w:eastAsia="es-MX"/>
        </w:rPr>
        <w:t>SUJETO OBLIGADO</w:t>
      </w:r>
      <w:r w:rsidRPr="00D12EC2">
        <w:rPr>
          <w:rFonts w:ascii="Palatino Linotype" w:hAnsi="Palatino Linotype" w:cs="Arial"/>
          <w:i/>
          <w:sz w:val="21"/>
          <w:szCs w:val="21"/>
          <w:lang w:eastAsia="es-MX"/>
        </w:rPr>
        <w:t xml:space="preserve">, y se </w:t>
      </w:r>
      <w:r w:rsidRPr="00D12EC2">
        <w:rPr>
          <w:rFonts w:ascii="Palatino Linotype" w:hAnsi="Palatino Linotype" w:cs="Arial"/>
          <w:b/>
          <w:i/>
          <w:sz w:val="21"/>
          <w:szCs w:val="21"/>
          <w:lang w:eastAsia="es-MX"/>
        </w:rPr>
        <w:t>ordena</w:t>
      </w:r>
      <w:r w:rsidRPr="00D12EC2">
        <w:rPr>
          <w:rFonts w:ascii="Palatino Linotype" w:hAnsi="Palatino Linotype" w:cs="Arial"/>
          <w:i/>
          <w:sz w:val="21"/>
          <w:szCs w:val="21"/>
          <w:lang w:eastAsia="es-MX"/>
        </w:rPr>
        <w:t xml:space="preserve"> atienda la solicitud de información pública </w:t>
      </w:r>
      <w:r w:rsidRPr="00D12EC2">
        <w:rPr>
          <w:rFonts w:ascii="Palatino Linotype" w:hAnsi="Palatino Linotype" w:cs="Arial"/>
          <w:b/>
          <w:bCs/>
          <w:i/>
          <w:sz w:val="21"/>
          <w:szCs w:val="21"/>
          <w:lang w:eastAsia="es-MX"/>
        </w:rPr>
        <w:t>000296/CUAUTIZC/IP/2018</w:t>
      </w:r>
      <w:r w:rsidRPr="00D12EC2">
        <w:rPr>
          <w:rFonts w:ascii="Palatino Linotype" w:hAnsi="Palatino Linotype" w:cs="Arial"/>
          <w:i/>
          <w:sz w:val="21"/>
          <w:szCs w:val="21"/>
          <w:lang w:eastAsia="es-MX"/>
        </w:rPr>
        <w:t>, y haga entrega al</w:t>
      </w:r>
      <w:r w:rsidRPr="00D12EC2">
        <w:rPr>
          <w:rFonts w:ascii="Palatino Linotype" w:hAnsi="Palatino Linotype" w:cs="Arial"/>
          <w:b/>
          <w:i/>
          <w:sz w:val="21"/>
          <w:szCs w:val="21"/>
          <w:lang w:eastAsia="es-MX"/>
        </w:rPr>
        <w:t xml:space="preserve"> RECURRENTE</w:t>
      </w:r>
      <w:r w:rsidRPr="00D12EC2">
        <w:rPr>
          <w:rFonts w:ascii="Palatino Linotype" w:hAnsi="Palatino Linotype" w:cs="Arial"/>
          <w:i/>
          <w:sz w:val="21"/>
          <w:szCs w:val="21"/>
          <w:lang w:eastAsia="es-MX"/>
        </w:rPr>
        <w:t xml:space="preserve">, vía </w:t>
      </w:r>
      <w:r w:rsidRPr="00D12EC2">
        <w:rPr>
          <w:rFonts w:ascii="Palatino Linotype" w:hAnsi="Palatino Linotype" w:cs="Arial"/>
          <w:b/>
          <w:i/>
          <w:sz w:val="21"/>
          <w:szCs w:val="21"/>
          <w:lang w:eastAsia="es-MX"/>
        </w:rPr>
        <w:t>EL</w:t>
      </w:r>
      <w:r w:rsidRPr="00D12EC2">
        <w:rPr>
          <w:rFonts w:ascii="Palatino Linotype" w:hAnsi="Palatino Linotype" w:cs="Arial"/>
          <w:i/>
          <w:sz w:val="21"/>
          <w:szCs w:val="21"/>
          <w:lang w:eastAsia="es-MX"/>
        </w:rPr>
        <w:t xml:space="preserve"> </w:t>
      </w:r>
      <w:r w:rsidRPr="00D12EC2">
        <w:rPr>
          <w:rFonts w:ascii="Palatino Linotype" w:hAnsi="Palatino Linotype" w:cs="Arial"/>
          <w:b/>
          <w:i/>
          <w:sz w:val="21"/>
          <w:szCs w:val="21"/>
          <w:lang w:eastAsia="es-MX"/>
        </w:rPr>
        <w:t>SAIMEX</w:t>
      </w:r>
      <w:r w:rsidRPr="00D12EC2">
        <w:rPr>
          <w:rFonts w:ascii="Palatino Linotype" w:hAnsi="Palatino Linotype" w:cs="Arial"/>
          <w:i/>
          <w:sz w:val="21"/>
          <w:szCs w:val="21"/>
          <w:lang w:eastAsia="es-MX"/>
        </w:rPr>
        <w:t xml:space="preserve">, en </w:t>
      </w:r>
      <w:r w:rsidRPr="00D12EC2">
        <w:rPr>
          <w:rFonts w:ascii="Palatino Linotype" w:hAnsi="Palatino Linotype" w:cs="Arial"/>
          <w:b/>
          <w:i/>
          <w:sz w:val="21"/>
          <w:szCs w:val="21"/>
          <w:lang w:eastAsia="es-MX"/>
        </w:rPr>
        <w:t>versión pública</w:t>
      </w:r>
      <w:r w:rsidRPr="00D12EC2">
        <w:rPr>
          <w:rFonts w:ascii="Palatino Linotype" w:hAnsi="Palatino Linotype" w:cs="Arial"/>
          <w:i/>
          <w:sz w:val="21"/>
          <w:szCs w:val="21"/>
          <w:lang w:eastAsia="es-MX"/>
        </w:rPr>
        <w:t xml:space="preserve">, en términos del Considerando </w:t>
      </w:r>
      <w:r w:rsidRPr="00D12EC2">
        <w:rPr>
          <w:rFonts w:ascii="Palatino Linotype" w:hAnsi="Palatino Linotype" w:cs="Arial"/>
          <w:b/>
          <w:i/>
          <w:sz w:val="21"/>
          <w:szCs w:val="21"/>
          <w:lang w:eastAsia="es-MX"/>
        </w:rPr>
        <w:t>QUINTO</w:t>
      </w:r>
      <w:r w:rsidRPr="00D12EC2">
        <w:rPr>
          <w:rFonts w:ascii="Palatino Linotype" w:hAnsi="Palatino Linotype" w:cs="Arial"/>
          <w:i/>
          <w:sz w:val="21"/>
          <w:szCs w:val="21"/>
          <w:lang w:eastAsia="es-MX"/>
        </w:rPr>
        <w:t xml:space="preserve"> de la presente resolución, de</w:t>
      </w:r>
      <w:r w:rsidRPr="00D12EC2">
        <w:rPr>
          <w:rFonts w:ascii="Palatino Linotype" w:hAnsi="Palatino Linotype" w:cs="Arial"/>
          <w:i/>
          <w:sz w:val="21"/>
          <w:szCs w:val="21"/>
          <w:lang w:val="es-ES" w:eastAsia="es-MX"/>
        </w:rPr>
        <w:t xml:space="preserve"> </w:t>
      </w:r>
      <w:r w:rsidRPr="00D12EC2">
        <w:rPr>
          <w:rFonts w:ascii="Palatino Linotype" w:hAnsi="Palatino Linotype" w:cs="Arial"/>
          <w:i/>
          <w:sz w:val="21"/>
          <w:szCs w:val="21"/>
          <w:lang w:eastAsia="es-MX"/>
        </w:rPr>
        <w:t xml:space="preserve">lo siguiente: </w:t>
      </w:r>
    </w:p>
    <w:p w:rsidR="008363D6" w:rsidRPr="00D12EC2" w:rsidRDefault="008363D6" w:rsidP="007A22E2">
      <w:pPr>
        <w:spacing w:after="0" w:line="240" w:lineRule="auto"/>
        <w:ind w:left="851" w:right="851"/>
        <w:jc w:val="both"/>
        <w:rPr>
          <w:rFonts w:ascii="Palatino Linotype" w:hAnsi="Palatino Linotype" w:cs="Arial"/>
          <w:i/>
          <w:sz w:val="21"/>
          <w:szCs w:val="21"/>
          <w:lang w:eastAsia="es-MX"/>
        </w:rPr>
      </w:pPr>
    </w:p>
    <w:p w:rsidR="007A22E2" w:rsidRPr="00D12EC2" w:rsidRDefault="008363D6" w:rsidP="008363D6">
      <w:pPr>
        <w:spacing w:after="0" w:line="240" w:lineRule="auto"/>
        <w:ind w:left="1134" w:right="1134"/>
        <w:jc w:val="both"/>
        <w:rPr>
          <w:rFonts w:ascii="Palatino Linotype" w:hAnsi="Palatino Linotype" w:cs="Arial"/>
          <w:i/>
          <w:sz w:val="21"/>
          <w:szCs w:val="21"/>
          <w:lang w:eastAsia="es-MX"/>
        </w:rPr>
      </w:pPr>
      <w:r w:rsidRPr="00D12EC2">
        <w:rPr>
          <w:rFonts w:ascii="Palatino Linotype" w:hAnsi="Palatino Linotype" w:cs="Arial"/>
          <w:b/>
          <w:i/>
          <w:sz w:val="21"/>
          <w:szCs w:val="21"/>
          <w:u w:val="single"/>
          <w:lang w:eastAsia="es-MX"/>
        </w:rPr>
        <w:t>“</w:t>
      </w:r>
      <w:r w:rsidR="007A22E2" w:rsidRPr="00D12EC2">
        <w:rPr>
          <w:rFonts w:ascii="Palatino Linotype" w:hAnsi="Palatino Linotype" w:cs="Arial"/>
          <w:b/>
          <w:i/>
          <w:sz w:val="21"/>
          <w:szCs w:val="21"/>
          <w:u w:val="single"/>
          <w:lang w:eastAsia="es-MX"/>
        </w:rPr>
        <w:t>Los recibos de nómina de la primera y segunda quincena de marzo de 2018</w:t>
      </w:r>
      <w:r w:rsidR="007A22E2" w:rsidRPr="00D12EC2">
        <w:rPr>
          <w:rFonts w:ascii="Palatino Linotype" w:hAnsi="Palatino Linotype" w:cs="Arial"/>
          <w:i/>
          <w:sz w:val="21"/>
          <w:szCs w:val="21"/>
        </w:rPr>
        <w:t xml:space="preserve"> </w:t>
      </w:r>
      <w:r w:rsidR="007A22E2" w:rsidRPr="00D12EC2">
        <w:rPr>
          <w:rFonts w:ascii="Palatino Linotype" w:hAnsi="Palatino Linotype" w:cs="Arial"/>
          <w:b/>
          <w:i/>
          <w:sz w:val="21"/>
          <w:szCs w:val="21"/>
          <w:u w:val="single"/>
        </w:rPr>
        <w:t>o el documento o los documentos en donde consten el sueldo sin excedentes y salario bruto</w:t>
      </w:r>
      <w:r w:rsidR="007A22E2" w:rsidRPr="00D12EC2">
        <w:rPr>
          <w:rFonts w:ascii="Palatino Linotype" w:hAnsi="Palatino Linotype" w:cs="Arial"/>
          <w:i/>
          <w:sz w:val="21"/>
          <w:szCs w:val="21"/>
        </w:rPr>
        <w:t xml:space="preserve">, así como </w:t>
      </w:r>
      <w:r w:rsidR="007A22E2" w:rsidRPr="00D12EC2">
        <w:rPr>
          <w:rFonts w:ascii="Palatino Linotype" w:hAnsi="Palatino Linotype" w:cs="Arial"/>
          <w:i/>
          <w:sz w:val="21"/>
          <w:szCs w:val="21"/>
          <w:lang w:eastAsia="es-MX"/>
        </w:rPr>
        <w:t xml:space="preserve">los conceptos que forman parte del sobresueldo, compensaciones, horas extras, comisiones, apoyos escolares, vales, </w:t>
      </w:r>
      <w:r w:rsidR="007A22E2" w:rsidRPr="00D12EC2">
        <w:rPr>
          <w:rFonts w:ascii="Palatino Linotype" w:hAnsi="Palatino Linotype" w:cs="Arial"/>
          <w:i/>
          <w:sz w:val="21"/>
          <w:szCs w:val="21"/>
          <w:lang w:eastAsia="es-MX"/>
        </w:rPr>
        <w:lastRenderedPageBreak/>
        <w:t xml:space="preserve">apoyos en general, excedentes y similares de la primera y segunda quincena de marzo de 2018 </w:t>
      </w:r>
      <w:r w:rsidR="007A22E2" w:rsidRPr="00D12EC2">
        <w:rPr>
          <w:rFonts w:ascii="Palatino Linotype" w:hAnsi="Palatino Linotype" w:cs="Arial"/>
          <w:b/>
          <w:i/>
          <w:sz w:val="21"/>
          <w:szCs w:val="21"/>
          <w:u w:val="single"/>
          <w:lang w:eastAsia="es-MX"/>
        </w:rPr>
        <w:t>de la totalidad de los servidores públicos adscritos al Ayuntamiento de Cuautitlán Izcalli</w:t>
      </w:r>
      <w:r w:rsidR="007A22E2" w:rsidRPr="00D12EC2">
        <w:rPr>
          <w:rFonts w:ascii="Palatino Linotype" w:hAnsi="Palatino Linotype" w:cs="Arial"/>
          <w:i/>
          <w:sz w:val="21"/>
          <w:szCs w:val="21"/>
          <w:lang w:eastAsia="es-MX"/>
        </w:rPr>
        <w:t>”</w:t>
      </w:r>
    </w:p>
    <w:p w:rsidR="004D12FC" w:rsidRPr="00D12EC2" w:rsidRDefault="004D12FC" w:rsidP="008363D6">
      <w:pPr>
        <w:spacing w:after="0" w:line="240" w:lineRule="auto"/>
        <w:ind w:left="1134" w:right="1134"/>
        <w:jc w:val="both"/>
        <w:rPr>
          <w:rFonts w:ascii="Palatino Linotype" w:hAnsi="Palatino Linotype"/>
          <w:sz w:val="21"/>
          <w:szCs w:val="21"/>
        </w:rPr>
      </w:pPr>
    </w:p>
    <w:p w:rsidR="004D12FC" w:rsidRPr="00D12EC2" w:rsidRDefault="004D12FC" w:rsidP="008363D6">
      <w:pPr>
        <w:spacing w:after="0" w:line="240" w:lineRule="auto"/>
        <w:ind w:left="1134" w:right="1134"/>
        <w:jc w:val="both"/>
        <w:rPr>
          <w:rFonts w:ascii="Palatino Linotype" w:hAnsi="Palatino Linotype"/>
          <w:i/>
          <w:sz w:val="21"/>
          <w:szCs w:val="21"/>
        </w:rPr>
      </w:pPr>
      <w:r w:rsidRPr="00D12EC2">
        <w:rPr>
          <w:rFonts w:ascii="Palatino Linotype" w:hAnsi="Palatino Linotype"/>
          <w:i/>
          <w:sz w:val="21"/>
          <w:szCs w:val="21"/>
        </w:rPr>
        <w:t>Énfasis añadido.</w:t>
      </w:r>
    </w:p>
    <w:p w:rsidR="00B07FD4" w:rsidRPr="00D12EC2" w:rsidRDefault="008363D6" w:rsidP="00B07FD4">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Al respecto es de suma importancia mencionar que compartimos </w:t>
      </w:r>
      <w:r w:rsidRPr="00D12EC2">
        <w:rPr>
          <w:rFonts w:ascii="Palatino Linotype" w:hAnsi="Palatino Linotype" w:cs="Arial"/>
          <w:sz w:val="23"/>
          <w:szCs w:val="23"/>
        </w:rPr>
        <w:t xml:space="preserve">el sentido de la votación, pero no </w:t>
      </w:r>
      <w:r w:rsidRPr="00D12EC2">
        <w:rPr>
          <w:rFonts w:ascii="Palatino Linotype" w:hAnsi="Palatino Linotype" w:cs="Arial"/>
          <w:sz w:val="23"/>
          <w:szCs w:val="23"/>
        </w:rPr>
        <w:t xml:space="preserve">coincidimos la forma en que se entregara la información </w:t>
      </w:r>
      <w:r w:rsidRPr="00D12EC2">
        <w:rPr>
          <w:rFonts w:ascii="Palatino Linotype" w:hAnsi="Palatino Linotype" w:cs="Arial"/>
          <w:sz w:val="23"/>
          <w:szCs w:val="23"/>
        </w:rPr>
        <w:t>de los servidores públicos que conforman el cuerpo de seguridad pública</w:t>
      </w:r>
      <w:r w:rsidR="00B07FD4" w:rsidRPr="00D12EC2">
        <w:rPr>
          <w:rFonts w:ascii="Palatino Linotype" w:hAnsi="Palatino Linotype" w:cs="Arial"/>
          <w:sz w:val="23"/>
          <w:szCs w:val="23"/>
        </w:rPr>
        <w:t xml:space="preserve"> del Ayuntamiento de Cuautitlán Izcalli</w:t>
      </w:r>
      <w:r w:rsidRPr="00D12EC2">
        <w:rPr>
          <w:rFonts w:ascii="Palatino Linotype" w:hAnsi="Palatino Linotype" w:cs="Arial"/>
          <w:sz w:val="23"/>
          <w:szCs w:val="23"/>
        </w:rPr>
        <w:t xml:space="preserve">, </w:t>
      </w:r>
      <w:r w:rsidR="00B07FD4" w:rsidRPr="00D12EC2">
        <w:rPr>
          <w:rFonts w:ascii="Palatino Linotype" w:hAnsi="Palatino Linotype" w:cs="Arial"/>
          <w:sz w:val="23"/>
          <w:szCs w:val="23"/>
        </w:rPr>
        <w:t>lo anterior es así en virtud de que si bien es cierto la Comisionada Ponente(</w:t>
      </w:r>
      <w:r w:rsidR="00B07FD4" w:rsidRPr="00D12EC2">
        <w:rPr>
          <w:rFonts w:ascii="Palatino Linotype" w:hAnsi="Palatino Linotype" w:cs="Arial"/>
          <w:i/>
          <w:sz w:val="23"/>
          <w:szCs w:val="23"/>
        </w:rPr>
        <w:t>en el penúltimo párrafo de la página 29</w:t>
      </w:r>
      <w:r w:rsidR="00B07FD4" w:rsidRPr="00D12EC2">
        <w:rPr>
          <w:rFonts w:ascii="Palatino Linotype" w:hAnsi="Palatino Linotype" w:cs="Arial"/>
          <w:sz w:val="23"/>
          <w:szCs w:val="23"/>
        </w:rPr>
        <w:t>) en relación a la información de los cuerpos de seguridad refirió que la misma sería entregada de manera disociada, conforme lo establece el artículo 4, fracción XVI, de la Ley de Protección de Datos Personales en Posesión de Sujetos Obligados del Estado de México y Municipios, entregándola por separado, es decir, que se realice la entrega de un listado que contenga el nombre de dichos servidores públicos y otro en el que se contenga el cargo y sueldo, sin que se permita vincular, como lo sería el tabulador de sueldos, con la finalidad de no poner en riesgo a dichos servidores públicos.</w:t>
      </w:r>
    </w:p>
    <w:p w:rsidR="00CA444A" w:rsidRPr="00D12EC2" w:rsidRDefault="00B07FD4" w:rsidP="00B07FD4">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Sin embargo a consideración de los suscritos </w:t>
      </w:r>
      <w:r w:rsidR="00FA20AE" w:rsidRPr="00D12EC2">
        <w:rPr>
          <w:rFonts w:ascii="Palatino Linotype" w:hAnsi="Palatino Linotype" w:cs="Arial"/>
          <w:sz w:val="23"/>
          <w:szCs w:val="23"/>
        </w:rPr>
        <w:t xml:space="preserve">lo </w:t>
      </w:r>
      <w:r w:rsidR="00AA0FD0" w:rsidRPr="00D12EC2">
        <w:rPr>
          <w:rFonts w:ascii="Palatino Linotype" w:hAnsi="Palatino Linotype" w:cs="Arial"/>
          <w:sz w:val="23"/>
          <w:szCs w:val="23"/>
        </w:rPr>
        <w:t>anterior, no es suficiente para cumplir con el objetivo de la figura jurídica que refieren, toda vez que el entregar la información como se ordena en la resolución materia del presente asunto</w:t>
      </w:r>
      <w:r w:rsidR="001B45EE" w:rsidRPr="00D12EC2">
        <w:rPr>
          <w:rFonts w:ascii="Palatino Linotype" w:hAnsi="Palatino Linotype" w:cs="Arial"/>
          <w:sz w:val="23"/>
          <w:szCs w:val="23"/>
        </w:rPr>
        <w:t xml:space="preserve"> no garantiza que los servidores públicos adscritos a la Comisaría General de Seguridad Pública y Tránsito </w:t>
      </w:r>
      <w:r w:rsidR="001A5D16" w:rsidRPr="00D12EC2">
        <w:rPr>
          <w:rFonts w:ascii="Palatino Linotype" w:hAnsi="Palatino Linotype" w:cs="Arial"/>
          <w:sz w:val="23"/>
          <w:szCs w:val="23"/>
        </w:rPr>
        <w:t xml:space="preserve">de Cuautitlán Izcalli no </w:t>
      </w:r>
      <w:r w:rsidR="001B45EE" w:rsidRPr="00D12EC2">
        <w:rPr>
          <w:rFonts w:ascii="Palatino Linotype" w:hAnsi="Palatino Linotype" w:cs="Arial"/>
          <w:sz w:val="23"/>
          <w:szCs w:val="23"/>
        </w:rPr>
        <w:t>sean identificados o identificables, en virtud de que</w:t>
      </w:r>
      <w:r w:rsidR="001A5D16" w:rsidRPr="00D12EC2">
        <w:rPr>
          <w:rFonts w:ascii="Palatino Linotype" w:hAnsi="Palatino Linotype" w:cs="Arial"/>
          <w:sz w:val="23"/>
          <w:szCs w:val="23"/>
        </w:rPr>
        <w:t xml:space="preserve"> si bien</w:t>
      </w:r>
      <w:r w:rsidR="001B45EE" w:rsidRPr="00D12EC2">
        <w:rPr>
          <w:rFonts w:ascii="Palatino Linotype" w:hAnsi="Palatino Linotype" w:cs="Arial"/>
          <w:sz w:val="23"/>
          <w:szCs w:val="23"/>
        </w:rPr>
        <w:t xml:space="preserve"> por una parte se hará entrega de</w:t>
      </w:r>
      <w:r w:rsidR="001A5D16" w:rsidRPr="00D12EC2">
        <w:rPr>
          <w:rFonts w:ascii="Palatino Linotype" w:hAnsi="Palatino Linotype" w:cs="Arial"/>
          <w:sz w:val="23"/>
          <w:szCs w:val="23"/>
        </w:rPr>
        <w:t>l documento o documento en donde conste(n)</w:t>
      </w:r>
      <w:r w:rsidR="001B45EE" w:rsidRPr="00D12EC2">
        <w:rPr>
          <w:rFonts w:ascii="Palatino Linotype" w:hAnsi="Palatino Linotype" w:cs="Arial"/>
          <w:sz w:val="23"/>
          <w:szCs w:val="23"/>
        </w:rPr>
        <w:t xml:space="preserve"> </w:t>
      </w:r>
      <w:r w:rsidR="001A5D16" w:rsidRPr="00D12EC2">
        <w:rPr>
          <w:rFonts w:ascii="Palatino Linotype" w:hAnsi="Palatino Linotype" w:cs="Arial"/>
          <w:sz w:val="23"/>
          <w:szCs w:val="23"/>
        </w:rPr>
        <w:t>su</w:t>
      </w:r>
      <w:r w:rsidR="001B45EE" w:rsidRPr="00D12EC2">
        <w:rPr>
          <w:rFonts w:ascii="Palatino Linotype" w:hAnsi="Palatino Linotype" w:cs="Arial"/>
          <w:sz w:val="23"/>
          <w:szCs w:val="23"/>
        </w:rPr>
        <w:t xml:space="preserve">s percepciones </w:t>
      </w:r>
      <w:r w:rsidR="001B45EE" w:rsidRPr="00D12EC2">
        <w:rPr>
          <w:rFonts w:ascii="Palatino Linotype" w:hAnsi="Palatino Linotype" w:cs="Arial"/>
          <w:sz w:val="23"/>
          <w:szCs w:val="23"/>
        </w:rPr>
        <w:lastRenderedPageBreak/>
        <w:t>ordinarias y extraordinarias</w:t>
      </w:r>
      <w:r w:rsidR="001A5D16" w:rsidRPr="00D12EC2">
        <w:rPr>
          <w:rFonts w:ascii="Palatino Linotype" w:hAnsi="Palatino Linotype" w:cs="Arial"/>
          <w:sz w:val="23"/>
          <w:szCs w:val="23"/>
        </w:rPr>
        <w:t xml:space="preserve">, empero, no debe perderse de vista que harán la entrega del </w:t>
      </w:r>
      <w:r w:rsidR="00CA444A" w:rsidRPr="00D12EC2">
        <w:rPr>
          <w:rFonts w:ascii="Palatino Linotype" w:hAnsi="Palatino Linotype" w:cs="Arial"/>
          <w:sz w:val="23"/>
          <w:szCs w:val="23"/>
        </w:rPr>
        <w:t xml:space="preserve">documento en donde conste el nombre de los servidores públicos adscritos a los cuerpos de seguridad, dato que a consideración de los suscritos debe ser protegido por este </w:t>
      </w:r>
      <w:r w:rsidR="003C3F0A" w:rsidRPr="00D12EC2">
        <w:rPr>
          <w:rFonts w:ascii="Palatino Linotype" w:hAnsi="Palatino Linotype" w:cs="Arial"/>
          <w:sz w:val="23"/>
          <w:szCs w:val="23"/>
        </w:rPr>
        <w:t>Órgano</w:t>
      </w:r>
      <w:r w:rsidR="00CA444A" w:rsidRPr="00D12EC2">
        <w:rPr>
          <w:rFonts w:ascii="Palatino Linotype" w:hAnsi="Palatino Linotype" w:cs="Arial"/>
          <w:sz w:val="23"/>
          <w:szCs w:val="23"/>
        </w:rPr>
        <w:t xml:space="preserve"> Garante.</w:t>
      </w:r>
    </w:p>
    <w:p w:rsidR="003C3F0A" w:rsidRPr="00D12EC2" w:rsidRDefault="003C3F0A" w:rsidP="003C3F0A">
      <w:pPr>
        <w:shd w:val="clear" w:color="auto" w:fill="FFFFFF"/>
        <w:spacing w:after="240" w:line="360" w:lineRule="auto"/>
        <w:jc w:val="both"/>
        <w:rPr>
          <w:rFonts w:ascii="Palatino Linotype" w:hAnsi="Palatino Linotype"/>
          <w:sz w:val="23"/>
          <w:szCs w:val="23"/>
          <w:lang w:eastAsia="es-MX"/>
        </w:rPr>
      </w:pPr>
      <w:r w:rsidRPr="00D12EC2">
        <w:rPr>
          <w:rFonts w:ascii="Palatino Linotype" w:hAnsi="Palatino Linotype" w:cs="Arial"/>
          <w:sz w:val="23"/>
          <w:szCs w:val="23"/>
        </w:rPr>
        <w:t>Al respecto debe precisare que</w:t>
      </w:r>
      <w:r w:rsidRPr="00D12EC2">
        <w:rPr>
          <w:rFonts w:ascii="Palatino Linotype" w:hAnsi="Palatino Linotype" w:cs="Arial"/>
          <w:sz w:val="23"/>
          <w:szCs w:val="23"/>
          <w:lang w:val="es-ES_tradnl"/>
        </w:rPr>
        <w:t xml:space="preserve"> </w:t>
      </w:r>
      <w:r w:rsidRPr="00D12EC2">
        <w:rPr>
          <w:rFonts w:ascii="Palatino Linotype" w:hAnsi="Palatino Linotype"/>
          <w:sz w:val="23"/>
          <w:szCs w:val="23"/>
          <w:lang w:eastAsia="es-MX"/>
        </w:rPr>
        <w:t>los artículos 52 de la Ley de Transparencia y Acceso a la Información Pública del Estado de México en relación directa con el 21 y 39 de la Ley de Protección de Datos Personales en Posesión de Sujetos Obli</w:t>
      </w:r>
      <w:r w:rsidRPr="00D12EC2">
        <w:rPr>
          <w:rFonts w:ascii="Palatino Linotype" w:hAnsi="Palatino Linotype"/>
          <w:sz w:val="23"/>
          <w:szCs w:val="23"/>
          <w:lang w:eastAsia="es-MX"/>
        </w:rPr>
        <w:t xml:space="preserve">gados del Estado de México, </w:t>
      </w:r>
      <w:r w:rsidRPr="00D12EC2">
        <w:rPr>
          <w:rFonts w:ascii="Palatino Linotype" w:hAnsi="Palatino Linotype"/>
          <w:sz w:val="23"/>
          <w:szCs w:val="23"/>
          <w:lang w:eastAsia="es-MX"/>
        </w:rPr>
        <w:t xml:space="preserve">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los datos personales con su titular, </w:t>
      </w:r>
      <w:r w:rsidR="004D12FC" w:rsidRPr="00D12EC2">
        <w:rPr>
          <w:rFonts w:ascii="Palatino Linotype" w:hAnsi="Palatino Linotype"/>
          <w:sz w:val="23"/>
          <w:szCs w:val="23"/>
          <w:lang w:eastAsia="es-MX"/>
        </w:rPr>
        <w:t xml:space="preserve">sobre este punto en particular, a consideración de los suscritos debió ordenarse que se entregara </w:t>
      </w:r>
      <w:r w:rsidRPr="00D12EC2">
        <w:rPr>
          <w:rFonts w:ascii="Palatino Linotype" w:hAnsi="Palatino Linotype"/>
          <w:sz w:val="23"/>
          <w:szCs w:val="23"/>
          <w:lang w:eastAsia="es-MX"/>
        </w:rPr>
        <w:t xml:space="preserve">la información </w:t>
      </w:r>
      <w:r w:rsidR="004D12FC" w:rsidRPr="00D12EC2">
        <w:rPr>
          <w:rFonts w:ascii="Palatino Linotype" w:hAnsi="Palatino Linotype"/>
          <w:sz w:val="23"/>
          <w:szCs w:val="23"/>
          <w:lang w:eastAsia="es-MX"/>
        </w:rPr>
        <w:t>aplicando</w:t>
      </w:r>
      <w:r w:rsidRPr="00D12EC2">
        <w:rPr>
          <w:rFonts w:ascii="Palatino Linotype" w:hAnsi="Palatino Linotype"/>
          <w:sz w:val="23"/>
          <w:szCs w:val="23"/>
          <w:lang w:eastAsia="es-MX"/>
        </w:rPr>
        <w:t xml:space="preserve"> la anonimización </w:t>
      </w:r>
      <w:r w:rsidR="004D12FC" w:rsidRPr="00D12EC2">
        <w:rPr>
          <w:rFonts w:ascii="Palatino Linotype" w:hAnsi="Palatino Linotype"/>
          <w:sz w:val="23"/>
          <w:szCs w:val="23"/>
          <w:lang w:eastAsia="es-MX"/>
        </w:rPr>
        <w:t>contemplada en el artículo 4 fracción II de la Ley de Protección de Datos Personales vigente en la entidad</w:t>
      </w:r>
      <w:r w:rsidRPr="00D12EC2">
        <w:rPr>
          <w:rFonts w:ascii="Palatino Linotype" w:hAnsi="Palatino Linotype"/>
          <w:sz w:val="23"/>
          <w:szCs w:val="23"/>
          <w:lang w:eastAsia="es-MX"/>
        </w:rPr>
        <w:t xml:space="preserve">. </w:t>
      </w:r>
    </w:p>
    <w:p w:rsidR="003C3F0A" w:rsidRPr="00D12EC2" w:rsidRDefault="003C3F0A" w:rsidP="003C3F0A">
      <w:pPr>
        <w:shd w:val="clear" w:color="auto" w:fill="FFFFFF"/>
        <w:spacing w:after="240" w:line="360" w:lineRule="auto"/>
        <w:jc w:val="both"/>
        <w:rPr>
          <w:rFonts w:ascii="Palatino Linotype" w:hAnsi="Palatino Linotype"/>
          <w:sz w:val="23"/>
          <w:szCs w:val="23"/>
          <w:lang w:eastAsia="es-MX"/>
        </w:rPr>
      </w:pPr>
      <w:r w:rsidRPr="00D12EC2">
        <w:rPr>
          <w:rFonts w:ascii="Palatino Linotype" w:hAnsi="Palatino Linotype"/>
          <w:sz w:val="23"/>
          <w:szCs w:val="23"/>
          <w:lang w:eastAsia="es-MX"/>
        </w:rPr>
        <w:t xml:space="preserve">Al respecto, es preciso mencionar que </w:t>
      </w:r>
      <w:r w:rsidRPr="00D12EC2">
        <w:rPr>
          <w:rFonts w:ascii="Palatino Linotype" w:hAnsi="Palatino Linotype"/>
          <w:color w:val="222222"/>
          <w:sz w:val="23"/>
          <w:szCs w:val="23"/>
          <w:lang w:eastAsia="es-MX"/>
        </w:rPr>
        <w:t>la anonimización es el proceso que permite eliminar todos los vínculos entre un conjunto de datos y el interesado, a fin de evitar la identificación de la o el titular a través de sus datos personales.</w:t>
      </w:r>
    </w:p>
    <w:p w:rsidR="003C3F0A" w:rsidRPr="00D12EC2" w:rsidRDefault="003C3F0A" w:rsidP="003C3F0A">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 xml:space="preserve">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w:t>
      </w:r>
      <w:r w:rsidRPr="00D12EC2">
        <w:rPr>
          <w:rFonts w:ascii="Palatino Linotype" w:hAnsi="Palatino Linotype"/>
          <w:sz w:val="23"/>
          <w:szCs w:val="23"/>
          <w:lang w:eastAsia="es-MX"/>
        </w:rPr>
        <w:lastRenderedPageBreak/>
        <w:t>que tienen encomendadas lleva implícito el riesgo a su integridad, toda vez que son responsables de procurar el orden, la estabilidad y la defensa de la sociedad a la que pertenecen.</w:t>
      </w:r>
    </w:p>
    <w:p w:rsidR="003C3F0A" w:rsidRPr="00D12EC2" w:rsidRDefault="003C3F0A" w:rsidP="003C3F0A">
      <w:pPr>
        <w:shd w:val="clear" w:color="auto" w:fill="FFFFFF"/>
        <w:spacing w:before="240" w:after="240" w:line="360" w:lineRule="auto"/>
        <w:jc w:val="both"/>
        <w:rPr>
          <w:sz w:val="23"/>
          <w:szCs w:val="23"/>
          <w:lang w:eastAsia="es-MX"/>
        </w:rPr>
      </w:pPr>
      <w:r w:rsidRPr="00D12EC2">
        <w:rPr>
          <w:rFonts w:ascii="Palatino Linotype" w:hAnsi="Palatino Linotype"/>
          <w:sz w:val="23"/>
          <w:szCs w:val="23"/>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C3F0A" w:rsidRPr="00D12EC2" w:rsidRDefault="003C3F0A" w:rsidP="003C3F0A">
      <w:pPr>
        <w:spacing w:before="240" w:after="0" w:line="360" w:lineRule="auto"/>
        <w:jc w:val="both"/>
        <w:rPr>
          <w:rFonts w:ascii="Palatino Linotype" w:eastAsia="MS Mincho" w:hAnsi="Palatino Linotype" w:cs="Arial"/>
          <w:sz w:val="23"/>
          <w:szCs w:val="23"/>
          <w:lang w:val="es-ES"/>
        </w:rPr>
      </w:pPr>
      <w:r w:rsidRPr="00D12EC2">
        <w:rPr>
          <w:rFonts w:ascii="Palatino Linotype" w:hAnsi="Palatino Linotype" w:cs="Arial"/>
          <w:sz w:val="23"/>
          <w:szCs w:val="23"/>
        </w:rPr>
        <w:t xml:space="preserve">Se afirma lo anterior, en virtud de que no debe perderse de vista que </w:t>
      </w:r>
      <w:r w:rsidRPr="00D12EC2">
        <w:rPr>
          <w:rFonts w:ascii="Palatino Linotype" w:eastAsia="MS Mincho" w:hAnsi="Palatino Linotype" w:cs="Arial"/>
          <w:sz w:val="23"/>
          <w:szCs w:val="23"/>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113, fracción I de la ley </w:t>
      </w:r>
      <w:r w:rsidR="004D12FC" w:rsidRPr="00D12EC2">
        <w:rPr>
          <w:rFonts w:ascii="Palatino Linotype" w:eastAsia="MS Mincho" w:hAnsi="Palatino Linotype" w:cs="Arial"/>
          <w:sz w:val="23"/>
          <w:szCs w:val="23"/>
          <w:lang w:val="es-ES"/>
        </w:rPr>
        <w:t>General de Transparencia vigente</w:t>
      </w:r>
      <w:r w:rsidRPr="00D12EC2">
        <w:rPr>
          <w:rFonts w:ascii="Palatino Linotype" w:eastAsia="MS Mincho" w:hAnsi="Palatino Linotype" w:cs="Arial"/>
          <w:sz w:val="23"/>
          <w:szCs w:val="23"/>
          <w:lang w:val="es-ES"/>
        </w:rPr>
        <w:t xml:space="preserve"> </w:t>
      </w:r>
      <w:r w:rsidR="004D12FC" w:rsidRPr="00D12EC2">
        <w:rPr>
          <w:rFonts w:ascii="Palatino Linotype" w:eastAsia="MS Mincho" w:hAnsi="Palatino Linotype" w:cs="Arial"/>
          <w:sz w:val="23"/>
          <w:szCs w:val="23"/>
          <w:lang w:val="es-ES"/>
        </w:rPr>
        <w:t xml:space="preserve">se </w:t>
      </w:r>
      <w:r w:rsidRPr="00D12EC2">
        <w:rPr>
          <w:rFonts w:ascii="Palatino Linotype" w:eastAsia="MS Mincho" w:hAnsi="Palatino Linotype" w:cs="Arial"/>
          <w:sz w:val="23"/>
          <w:szCs w:val="23"/>
          <w:lang w:val="es-ES"/>
        </w:rPr>
        <w:t xml:space="preserve">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w:t>
      </w:r>
      <w:r w:rsidRPr="00D12EC2">
        <w:rPr>
          <w:rFonts w:ascii="Palatino Linotype" w:eastAsia="MS Mincho" w:hAnsi="Palatino Linotype" w:cs="Arial"/>
          <w:sz w:val="23"/>
          <w:szCs w:val="23"/>
          <w:lang w:val="es-ES"/>
        </w:rPr>
        <w:lastRenderedPageBreak/>
        <w:t xml:space="preserve">componente fundamental en el esfuerzo que realiza el Estado Mexicano para garantizar la seguridad del país en sus diferentes vertientes, toda vez que no se ha mencionado con antelación al proporcionar la información solicitada por el recurrente, permite que los servidores públicos adscritos a los cuerpos policiacos sea identificados o identificables, circunstancia que </w:t>
      </w:r>
      <w:r w:rsidRPr="00D12EC2">
        <w:rPr>
          <w:rFonts w:ascii="Palatino Linotype" w:eastAsia="MS Mincho" w:hAnsi="Palatino Linotype" w:cs="Arial"/>
          <w:sz w:val="23"/>
          <w:szCs w:val="23"/>
          <w:lang w:val="es-ES_tradnl"/>
        </w:rPr>
        <w:t xml:space="preserve">puede poner en riesgo la vida e integridad física de los integrantes de los cuerpos policiacos, al respecto cabe hacer mención que no debe pasar desapercibido que el artículo 81 fracción III de la Ley de Seguridad del Estado de México, establece lo siguiente: </w:t>
      </w:r>
    </w:p>
    <w:p w:rsidR="004D12FC" w:rsidRPr="00D12EC2" w:rsidRDefault="004D12FC" w:rsidP="004D12FC">
      <w:pPr>
        <w:spacing w:after="0" w:line="240" w:lineRule="auto"/>
        <w:ind w:left="851" w:right="851"/>
        <w:jc w:val="both"/>
        <w:rPr>
          <w:rFonts w:ascii="Palatino Linotype" w:eastAsia="MS Mincho" w:hAnsi="Palatino Linotype" w:cs="Arial"/>
          <w:i/>
          <w:sz w:val="20"/>
          <w:szCs w:val="20"/>
          <w:lang w:val="es-ES_tradnl"/>
        </w:rPr>
      </w:pPr>
    </w:p>
    <w:p w:rsidR="003C3F0A" w:rsidRPr="00D12EC2" w:rsidRDefault="003C3F0A" w:rsidP="004D12FC">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r w:rsidRPr="00D12EC2">
        <w:rPr>
          <w:rFonts w:ascii="Palatino Linotype" w:eastAsia="MS Mincho" w:hAnsi="Palatino Linotype" w:cs="Arial"/>
          <w:b/>
          <w:i/>
          <w:sz w:val="21"/>
          <w:szCs w:val="21"/>
          <w:lang w:val="es-ES_tradnl"/>
        </w:rPr>
        <w:t>Artículo 81.-</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D12EC2">
        <w:rPr>
          <w:rFonts w:ascii="Palatino Linotype" w:eastAsia="MS Mincho" w:hAnsi="Palatino Linotype" w:cs="Arial"/>
          <w:b/>
          <w:i/>
          <w:sz w:val="21"/>
          <w:szCs w:val="21"/>
          <w:u w:val="single"/>
          <w:lang w:val="es-ES_tradnl"/>
        </w:rPr>
        <w:t>No obstante lo anterior, esta información se considerará reservada</w:t>
      </w:r>
      <w:r w:rsidRPr="00D12EC2">
        <w:rPr>
          <w:rFonts w:ascii="Palatino Linotype" w:eastAsia="MS Mincho" w:hAnsi="Palatino Linotype" w:cs="Arial"/>
          <w:i/>
          <w:sz w:val="21"/>
          <w:szCs w:val="21"/>
          <w:lang w:val="es-ES_tradnl"/>
        </w:rPr>
        <w:t xml:space="preserve"> en los casos siguientes:</w:t>
      </w:r>
    </w:p>
    <w:p w:rsidR="003C3F0A" w:rsidRPr="00D12EC2" w:rsidRDefault="003C3F0A" w:rsidP="004D12FC">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w:t>
      </w:r>
    </w:p>
    <w:p w:rsidR="003C3F0A" w:rsidRPr="00D12EC2" w:rsidRDefault="003C3F0A" w:rsidP="004D12FC">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b/>
          <w:i/>
          <w:sz w:val="21"/>
          <w:szCs w:val="21"/>
          <w:lang w:val="es-ES_tradnl"/>
        </w:rPr>
        <w:t>III.</w:t>
      </w:r>
      <w:r w:rsidRPr="00D12EC2">
        <w:rPr>
          <w:rFonts w:ascii="Palatino Linotype" w:eastAsia="MS Mincho" w:hAnsi="Palatino Linotype" w:cs="Arial"/>
          <w:i/>
          <w:sz w:val="21"/>
          <w:szCs w:val="21"/>
          <w:lang w:val="es-ES_tradnl"/>
        </w:rPr>
        <w:t xml:space="preserve"> </w:t>
      </w:r>
      <w:r w:rsidRPr="00D12EC2">
        <w:rPr>
          <w:rFonts w:ascii="Palatino Linotype" w:eastAsia="MS Mincho" w:hAnsi="Palatino Linotype" w:cs="Arial"/>
          <w:b/>
          <w:i/>
          <w:sz w:val="21"/>
          <w:szCs w:val="21"/>
          <w:u w:val="single"/>
          <w:lang w:val="es-ES_tradnl"/>
        </w:rPr>
        <w:t>La relativa a servidores públicos miembros de las instituciones de seguridad pública, cuya revelación pueda poner en riesgo su vida e integridad física con motivo de sus funciones;</w:t>
      </w:r>
      <w:r w:rsidRPr="00D12EC2">
        <w:rPr>
          <w:rFonts w:ascii="Palatino Linotype" w:eastAsia="MS Mincho" w:hAnsi="Palatino Linotype" w:cs="Arial"/>
          <w:i/>
          <w:sz w:val="21"/>
          <w:szCs w:val="21"/>
          <w:lang w:val="es-ES_tradnl"/>
        </w:rPr>
        <w:t>”</w:t>
      </w:r>
    </w:p>
    <w:p w:rsidR="003C3F0A" w:rsidRPr="00D12EC2" w:rsidRDefault="003C3F0A" w:rsidP="004D12FC">
      <w:pPr>
        <w:spacing w:after="0" w:line="240" w:lineRule="auto"/>
        <w:ind w:left="851" w:right="851"/>
        <w:jc w:val="both"/>
        <w:rPr>
          <w:rFonts w:ascii="Palatino Linotype" w:eastAsia="MS Mincho" w:hAnsi="Palatino Linotype" w:cs="Arial"/>
          <w:i/>
          <w:sz w:val="21"/>
          <w:szCs w:val="21"/>
          <w:lang w:val="es-ES_tradnl"/>
        </w:rPr>
      </w:pPr>
    </w:p>
    <w:p w:rsidR="003C3F0A" w:rsidRPr="00D12EC2" w:rsidRDefault="003C3F0A" w:rsidP="004D12FC">
      <w:pPr>
        <w:spacing w:after="0" w:line="240" w:lineRule="auto"/>
        <w:ind w:left="851" w:right="851"/>
        <w:jc w:val="both"/>
        <w:rPr>
          <w:rFonts w:ascii="Palatino Linotype" w:eastAsia="MS Mincho" w:hAnsi="Palatino Linotype" w:cs="Arial"/>
          <w:i/>
          <w:sz w:val="21"/>
          <w:szCs w:val="21"/>
          <w:lang w:val="es-ES_tradnl"/>
        </w:rPr>
      </w:pPr>
      <w:r w:rsidRPr="00D12EC2">
        <w:rPr>
          <w:rFonts w:ascii="Palatino Linotype" w:eastAsia="MS Mincho" w:hAnsi="Palatino Linotype" w:cs="Arial"/>
          <w:i/>
          <w:sz w:val="21"/>
          <w:szCs w:val="21"/>
          <w:lang w:val="es-ES_tradnl"/>
        </w:rPr>
        <w:t>Énfasis añadido</w:t>
      </w:r>
    </w:p>
    <w:p w:rsidR="003C3F0A" w:rsidRPr="00D12EC2" w:rsidRDefault="003C3F0A" w:rsidP="003C3F0A">
      <w:pPr>
        <w:jc w:val="both"/>
        <w:rPr>
          <w:rFonts w:ascii="Palatino Linotype" w:eastAsia="MS Mincho" w:hAnsi="Palatino Linotype" w:cs="Arial"/>
          <w:lang w:val="es-ES_tradnl"/>
        </w:rPr>
      </w:pPr>
    </w:p>
    <w:p w:rsidR="003C3F0A" w:rsidRPr="00D12EC2" w:rsidRDefault="003C3F0A" w:rsidP="003C3F0A">
      <w:pPr>
        <w:spacing w:before="240" w:after="240" w:line="360" w:lineRule="auto"/>
        <w:jc w:val="both"/>
        <w:rPr>
          <w:rFonts w:ascii="Palatino Linotype" w:hAnsi="Palatino Linotype" w:cs="Arial"/>
          <w:sz w:val="23"/>
          <w:szCs w:val="23"/>
        </w:rPr>
      </w:pPr>
      <w:r w:rsidRPr="00D12EC2">
        <w:rPr>
          <w:rFonts w:ascii="Palatino Linotype" w:hAnsi="Palatino Linotype" w:cs="Arial"/>
          <w:sz w:val="23"/>
          <w:szCs w:val="23"/>
        </w:rPr>
        <w:t xml:space="preserve">Argumento que se fortalece con lo estipulado en el criterio número 6-09, emitido por el Instituto Nacional de Transparencia, Acceso a la Información y Protección de Datos Personales, antes </w:t>
      </w:r>
      <w:r w:rsidRPr="00D12EC2">
        <w:rPr>
          <w:rFonts w:ascii="Palatino Linotype" w:hAnsi="Palatino Linotype" w:cs="Arial"/>
          <w:sz w:val="23"/>
          <w:szCs w:val="23"/>
          <w:lang w:eastAsia="es-MX"/>
        </w:rPr>
        <w:t>(IFAI)</w:t>
      </w:r>
      <w:r w:rsidRPr="00D12EC2">
        <w:rPr>
          <w:rStyle w:val="Textoennegrita"/>
          <w:rFonts w:ascii="Palatino Linotype" w:hAnsi="Palatino Linotype" w:cs="Arial"/>
          <w:sz w:val="23"/>
          <w:szCs w:val="23"/>
        </w:rPr>
        <w:t xml:space="preserve">, </w:t>
      </w:r>
      <w:r w:rsidRPr="00D12EC2">
        <w:rPr>
          <w:rFonts w:ascii="Palatino Linotype" w:hAnsi="Palatino Linotype" w:cs="Arial"/>
          <w:sz w:val="23"/>
          <w:szCs w:val="23"/>
        </w:rPr>
        <w:t xml:space="preserve">el cual refiere: </w:t>
      </w:r>
    </w:p>
    <w:p w:rsidR="003C3F0A" w:rsidRPr="00D12EC2" w:rsidRDefault="003C3F0A" w:rsidP="004D12FC">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“Criterio 6-09</w:t>
      </w:r>
    </w:p>
    <w:p w:rsidR="003C3F0A" w:rsidRPr="00D12EC2" w:rsidRDefault="003C3F0A" w:rsidP="004D12FC">
      <w:pPr>
        <w:autoSpaceDE w:val="0"/>
        <w:autoSpaceDN w:val="0"/>
        <w:adjustRightInd w:val="0"/>
        <w:spacing w:after="0" w:line="240" w:lineRule="auto"/>
        <w:ind w:left="1134" w:right="851"/>
        <w:jc w:val="both"/>
        <w:rPr>
          <w:rFonts w:ascii="Palatino Linotype" w:hAnsi="Palatino Linotype" w:cs="Arial"/>
          <w:i/>
          <w:sz w:val="21"/>
          <w:szCs w:val="21"/>
          <w:lang w:eastAsia="es-MX"/>
        </w:rPr>
      </w:pPr>
      <w:r w:rsidRPr="00D12EC2">
        <w:rPr>
          <w:rFonts w:ascii="Palatino Linotype" w:hAnsi="Palatino Linotype" w:cs="Arial"/>
          <w:b/>
          <w:bCs/>
          <w:i/>
          <w:sz w:val="21"/>
          <w:szCs w:val="21"/>
          <w:lang w:eastAsia="es-MX"/>
        </w:rPr>
        <w:t xml:space="preserve">Nombres de servidores públicos dedicados a actividades en materia de seguridad, por excepción pueden considerarse información reservada. </w:t>
      </w:r>
      <w:r w:rsidRPr="00D12EC2">
        <w:rPr>
          <w:rFonts w:ascii="Palatino Linotype" w:hAnsi="Palatino Linotype" w:cs="Arial"/>
          <w:bCs/>
          <w:i/>
          <w:sz w:val="21"/>
          <w:szCs w:val="21"/>
          <w:lang w:eastAsia="es-MX"/>
        </w:rPr>
        <w:t xml:space="preserve">De conformidad con el artículo 7, fracciones I y III de la Ley Federal de Transparencia </w:t>
      </w:r>
      <w:r w:rsidRPr="00D12EC2">
        <w:rPr>
          <w:rFonts w:ascii="Palatino Linotype" w:hAnsi="Palatino Linotype" w:cs="Arial"/>
          <w:bCs/>
          <w:i/>
          <w:sz w:val="21"/>
          <w:szCs w:val="21"/>
          <w:lang w:eastAsia="es-MX"/>
        </w:rPr>
        <w:lastRenderedPageBreak/>
        <w:t xml:space="preserve">y Acceso a la Información Pública Gubernamental </w:t>
      </w:r>
      <w:r w:rsidRPr="00D12EC2">
        <w:rPr>
          <w:rFonts w:ascii="Palatino Linotype" w:hAnsi="Palatino Linotype" w:cs="Arial"/>
          <w:b/>
          <w:bCs/>
          <w:i/>
          <w:sz w:val="21"/>
          <w:szCs w:val="21"/>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D12EC2">
        <w:rPr>
          <w:rFonts w:ascii="Palatino Linotype" w:hAnsi="Palatino Linotype" w:cs="Arial"/>
          <w:bCs/>
          <w:i/>
          <w:sz w:val="21"/>
          <w:szCs w:val="21"/>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D12EC2">
        <w:rPr>
          <w:rFonts w:ascii="Palatino Linotype" w:hAnsi="Palatino Linotype" w:cs="Arial"/>
          <w:b/>
          <w:bCs/>
          <w:i/>
          <w:sz w:val="21"/>
          <w:szCs w:val="21"/>
          <w:u w:val="single"/>
          <w:lang w:eastAsia="es-MX"/>
        </w:rPr>
        <w:t>el artículo 13, fracción I de la ley de referencia se establece que podrá clasificarse aquella información cuya difusión pueda comprometer la seguridad nacional y pública</w:t>
      </w:r>
      <w:r w:rsidRPr="00D12EC2">
        <w:rPr>
          <w:rFonts w:ascii="Palatino Linotype" w:hAnsi="Palatino Linotype" w:cs="Arial"/>
          <w:bCs/>
          <w:i/>
          <w:sz w:val="21"/>
          <w:szCs w:val="21"/>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D12EC2">
        <w:rPr>
          <w:rFonts w:ascii="Palatino Linotype" w:hAnsi="Palatino Linotype" w:cs="Arial"/>
          <w:b/>
          <w:bCs/>
          <w:i/>
          <w:sz w:val="21"/>
          <w:szCs w:val="21"/>
          <w:u w:val="single"/>
          <w:lang w:eastAsia="es-MX"/>
        </w:rPr>
        <w:t>por lo que la reserva de la relación de los nombres y las funciones que desempeñan los servidores públicos que prestan sus servicios en áreas de seguridad nacional o pública</w:t>
      </w:r>
      <w:r w:rsidRPr="00D12EC2">
        <w:rPr>
          <w:rFonts w:ascii="Palatino Linotype" w:hAnsi="Palatino Linotype" w:cs="Arial"/>
          <w:bCs/>
          <w:i/>
          <w:sz w:val="21"/>
          <w:szCs w:val="21"/>
          <w:lang w:eastAsia="es-MX"/>
        </w:rPr>
        <w:t>, puede llegar a constituirse en un componente fundamental en el esfuerzo que realiza el Estado Mexicano para garantizar la seguridad del país en sus diferentes vertientes</w:t>
      </w:r>
      <w:r w:rsidRPr="00D12EC2">
        <w:rPr>
          <w:rFonts w:ascii="Palatino Linotype" w:hAnsi="Palatino Linotype" w:cs="Arial"/>
          <w:i/>
          <w:sz w:val="21"/>
          <w:szCs w:val="21"/>
          <w:lang w:eastAsia="es-MX"/>
        </w:rPr>
        <w:t>” (Sic)</w:t>
      </w:r>
    </w:p>
    <w:p w:rsidR="003C3F0A" w:rsidRPr="00D12EC2" w:rsidRDefault="003C3F0A" w:rsidP="004D12FC">
      <w:pPr>
        <w:tabs>
          <w:tab w:val="left" w:pos="3583"/>
        </w:tabs>
        <w:autoSpaceDE w:val="0"/>
        <w:autoSpaceDN w:val="0"/>
        <w:adjustRightInd w:val="0"/>
        <w:spacing w:after="0" w:line="240" w:lineRule="auto"/>
        <w:ind w:left="1134" w:right="851"/>
        <w:jc w:val="both"/>
        <w:rPr>
          <w:rFonts w:ascii="Palatino Linotype" w:hAnsi="Palatino Linotype" w:cs="Arial"/>
          <w:i/>
          <w:sz w:val="20"/>
          <w:szCs w:val="20"/>
          <w:lang w:eastAsia="es-MX"/>
        </w:rPr>
      </w:pPr>
      <w:r w:rsidRPr="00D12EC2">
        <w:rPr>
          <w:rFonts w:ascii="Palatino Linotype" w:hAnsi="Palatino Linotype" w:cs="Arial"/>
          <w:i/>
          <w:sz w:val="21"/>
          <w:szCs w:val="21"/>
          <w:lang w:eastAsia="es-MX"/>
        </w:rPr>
        <w:t>Énfasis añadido.</w:t>
      </w:r>
      <w:r w:rsidR="004D12FC" w:rsidRPr="00D12EC2">
        <w:rPr>
          <w:rFonts w:ascii="Palatino Linotype" w:hAnsi="Palatino Linotype" w:cs="Arial"/>
          <w:i/>
          <w:sz w:val="21"/>
          <w:szCs w:val="21"/>
          <w:lang w:eastAsia="es-MX"/>
        </w:rPr>
        <w:tab/>
      </w:r>
    </w:p>
    <w:p w:rsidR="004D12FC" w:rsidRPr="00D12EC2" w:rsidRDefault="004D12FC" w:rsidP="004D12FC">
      <w:pPr>
        <w:autoSpaceDE w:val="0"/>
        <w:autoSpaceDN w:val="0"/>
        <w:adjustRightInd w:val="0"/>
        <w:ind w:left="1134" w:right="851"/>
        <w:jc w:val="both"/>
        <w:rPr>
          <w:rFonts w:ascii="Palatino Linotype" w:hAnsi="Palatino Linotype" w:cs="Arial"/>
          <w:i/>
          <w:sz w:val="23"/>
          <w:szCs w:val="23"/>
          <w:lang w:eastAsia="es-MX"/>
        </w:rPr>
      </w:pPr>
    </w:p>
    <w:p w:rsidR="004D12FC" w:rsidRPr="00D12EC2" w:rsidRDefault="004D12FC" w:rsidP="004D12FC">
      <w:pPr>
        <w:spacing w:before="240" w:after="240" w:line="360" w:lineRule="auto"/>
        <w:jc w:val="both"/>
        <w:rPr>
          <w:rFonts w:ascii="Palatino Linotype" w:hAnsi="Palatino Linotype" w:cs="Segoe UI"/>
          <w:sz w:val="23"/>
          <w:szCs w:val="23"/>
        </w:rPr>
      </w:pPr>
      <w:r w:rsidRPr="00D12EC2">
        <w:rPr>
          <w:rFonts w:ascii="Palatino Linotype" w:hAnsi="Palatino Linotype"/>
          <w:sz w:val="23"/>
          <w:szCs w:val="23"/>
        </w:rPr>
        <w:t xml:space="preserve">Desde </w:t>
      </w:r>
      <w:r w:rsidRPr="00D12EC2">
        <w:rPr>
          <w:rFonts w:ascii="Palatino Linotype" w:hAnsi="Palatino Linotype"/>
          <w:sz w:val="23"/>
          <w:szCs w:val="23"/>
        </w:rPr>
        <w:t>nuestro punto</w:t>
      </w:r>
      <w:r w:rsidRPr="00D12EC2">
        <w:rPr>
          <w:rFonts w:ascii="Palatino Linotype" w:hAnsi="Palatino Linotype"/>
          <w:sz w:val="23"/>
          <w:szCs w:val="23"/>
        </w:rPr>
        <w:t xml:space="preserve"> de vista, el </w:t>
      </w:r>
      <w:r w:rsidRPr="00D12EC2">
        <w:rPr>
          <w:rFonts w:ascii="Palatino Linotype" w:hAnsi="Palatino Linotype" w:cs="Segoe UI"/>
          <w:sz w:val="23"/>
          <w:szCs w:val="23"/>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w:t>
      </w:r>
      <w:r w:rsidRPr="00D12EC2">
        <w:rPr>
          <w:rFonts w:ascii="Palatino Linotype" w:hAnsi="Palatino Linotype" w:cs="Segoe UI"/>
          <w:sz w:val="23"/>
          <w:szCs w:val="23"/>
        </w:rPr>
        <w:t>en las tesis jurisprudenciales emitidas por la Suprema corte de Justicia de la Nación, que son del literal siguiente:</w:t>
      </w:r>
      <w:r w:rsidRPr="00D12EC2">
        <w:rPr>
          <w:rFonts w:ascii="Palatino Linotype" w:hAnsi="Palatino Linotype" w:cs="Segoe UI"/>
          <w:sz w:val="23"/>
          <w:szCs w:val="23"/>
        </w:rPr>
        <w:t xml:space="preserve"> </w:t>
      </w:r>
    </w:p>
    <w:p w:rsidR="004D12FC" w:rsidRPr="00D12EC2" w:rsidRDefault="004D12FC" w:rsidP="004D12FC">
      <w:pPr>
        <w:autoSpaceDE w:val="0"/>
        <w:autoSpaceDN w:val="0"/>
        <w:adjustRightInd w:val="0"/>
        <w:spacing w:after="120" w:line="240" w:lineRule="auto"/>
        <w:ind w:left="851" w:right="992"/>
        <w:jc w:val="both"/>
        <w:rPr>
          <w:rFonts w:ascii="Palatino Linotype" w:eastAsia="Calibri" w:hAnsi="Palatino Linotype" w:cs="Arial"/>
          <w:i/>
          <w:sz w:val="21"/>
          <w:szCs w:val="21"/>
          <w:lang w:val="es-ES"/>
        </w:rPr>
      </w:pPr>
      <w:r w:rsidRPr="00D12EC2">
        <w:rPr>
          <w:rFonts w:ascii="Palatino Linotype" w:eastAsia="Calibri" w:hAnsi="Palatino Linotype" w:cs="Arial"/>
          <w:b/>
          <w:bCs/>
          <w:i/>
          <w:sz w:val="21"/>
          <w:szCs w:val="21"/>
          <w:lang w:val="es-ES"/>
        </w:rPr>
        <w:t xml:space="preserve">“DERECHO A LA INFORMACIÓN. SU EJERCICIO SE ENCUENTRA LIMITADO TANTO POR LOS INTERESES NACIONALES Y DE LA SOCIEDAD, COMO POR LOS DERECHOS DE TERCEROS. </w:t>
      </w:r>
      <w:r w:rsidRPr="00D12EC2">
        <w:rPr>
          <w:rFonts w:ascii="Palatino Linotype" w:eastAsia="Calibri" w:hAnsi="Palatino Linotype" w:cs="Arial"/>
          <w:i/>
          <w:sz w:val="21"/>
          <w:szCs w:val="21"/>
          <w:lang w:val="es-ES"/>
        </w:rPr>
        <w:t xml:space="preserve">El derecho a la </w:t>
      </w:r>
      <w:r w:rsidRPr="00D12EC2">
        <w:rPr>
          <w:rFonts w:ascii="Palatino Linotype" w:eastAsia="Calibri" w:hAnsi="Palatino Linotype" w:cs="Arial"/>
          <w:i/>
          <w:sz w:val="21"/>
          <w:szCs w:val="21"/>
          <w:lang w:val="es-ES"/>
        </w:rPr>
        <w:lastRenderedPageBreak/>
        <w:t>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C3F0A" w:rsidRPr="00D12EC2" w:rsidRDefault="004D12FC" w:rsidP="004D12FC">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 xml:space="preserve"> </w:t>
      </w:r>
    </w:p>
    <w:p w:rsidR="003C3F0A" w:rsidRPr="00D12EC2" w:rsidRDefault="003C3F0A" w:rsidP="004D12FC">
      <w:pPr>
        <w:shd w:val="clear" w:color="auto" w:fill="FFFFFF"/>
        <w:ind w:left="851" w:right="902"/>
        <w:jc w:val="both"/>
        <w:rPr>
          <w:sz w:val="21"/>
          <w:szCs w:val="21"/>
          <w:lang w:eastAsia="es-MX"/>
        </w:rPr>
      </w:pPr>
      <w:r w:rsidRPr="00D12EC2">
        <w:rPr>
          <w:rFonts w:ascii="Palatino Linotype" w:hAnsi="Palatino Linotype"/>
          <w:b/>
          <w:bCs/>
          <w:i/>
          <w:iCs/>
          <w:sz w:val="21"/>
          <w:szCs w:val="21"/>
          <w:lang w:eastAsia="es-MX"/>
        </w:rPr>
        <w:t>“TRANSPARENCIA Y ACCESO A LA INFORMACIÓN PÚBLICA GUBERNAMENTAL. EL ARTÍCULO 14, FRACCIÓN I, DE LA LEY FEDERAL RELATIVA, NO VIOLA LA GARANTÍA DE ACCESO A LA INFORMACIÓN.</w:t>
      </w:r>
      <w:r w:rsidRPr="00D12EC2">
        <w:rPr>
          <w:rFonts w:ascii="Palatino Linotype" w:hAnsi="Palatino Linotype"/>
          <w:i/>
          <w:iCs/>
          <w:sz w:val="21"/>
          <w:szCs w:val="21"/>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12EC2">
        <w:rPr>
          <w:rFonts w:ascii="Palatino Linotype" w:hAnsi="Palatino Linotype"/>
          <w:b/>
          <w:bCs/>
          <w:i/>
          <w:iCs/>
          <w:sz w:val="21"/>
          <w:szCs w:val="21"/>
          <w:lang w:eastAsia="es-MX"/>
        </w:rPr>
        <w:t xml:space="preserve">el legislador </w:t>
      </w:r>
      <w:r w:rsidRPr="00D12EC2">
        <w:rPr>
          <w:rFonts w:ascii="Palatino Linotype" w:hAnsi="Palatino Linotype"/>
          <w:b/>
          <w:bCs/>
          <w:i/>
          <w:iCs/>
          <w:sz w:val="21"/>
          <w:szCs w:val="21"/>
          <w:lang w:eastAsia="es-MX"/>
        </w:rPr>
        <w:lastRenderedPageBreak/>
        <w:t>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12EC2">
        <w:rPr>
          <w:rFonts w:ascii="Palatino Linotype" w:hAnsi="Palatino Linotype"/>
          <w:i/>
          <w:iCs/>
          <w:sz w:val="21"/>
          <w:szCs w:val="21"/>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4D12FC" w:rsidRPr="00D12EC2" w:rsidRDefault="004D12FC" w:rsidP="004D12FC">
      <w:pPr>
        <w:shd w:val="clear" w:color="auto" w:fill="FFFFFF"/>
        <w:ind w:left="851" w:right="902"/>
        <w:jc w:val="both"/>
        <w:rPr>
          <w:sz w:val="21"/>
          <w:szCs w:val="21"/>
          <w:lang w:eastAsia="es-MX"/>
        </w:rPr>
      </w:pPr>
    </w:p>
    <w:p w:rsidR="00E91BE3" w:rsidRPr="00D12EC2" w:rsidRDefault="00DB5E3A" w:rsidP="007A22E2">
      <w:pPr>
        <w:spacing w:before="240" w:after="0" w:line="360" w:lineRule="auto"/>
        <w:jc w:val="both"/>
        <w:rPr>
          <w:rFonts w:ascii="Palatino Linotype" w:hAnsi="Palatino Linotype" w:cs="Arial"/>
          <w:sz w:val="23"/>
          <w:szCs w:val="23"/>
        </w:rPr>
      </w:pPr>
      <w:r w:rsidRPr="00D12EC2">
        <w:rPr>
          <w:rFonts w:ascii="Palatino Linotype" w:hAnsi="Palatino Linotype" w:cs="Arial"/>
          <w:sz w:val="23"/>
          <w:szCs w:val="23"/>
        </w:rPr>
        <w:t>Por todo lo expuesto es que formulamos el presente voto particular concurrente</w:t>
      </w:r>
      <w:r w:rsidR="007A22E2" w:rsidRPr="00D12EC2">
        <w:rPr>
          <w:rFonts w:ascii="Palatino Linotype" w:hAnsi="Palatino Linotype" w:cs="Arial"/>
          <w:sz w:val="23"/>
          <w:szCs w:val="23"/>
        </w:rPr>
        <w:t>, en los términos precisados</w:t>
      </w:r>
      <w:r w:rsidRPr="00D12EC2">
        <w:rPr>
          <w:rFonts w:ascii="Palatino Linotype" w:hAnsi="Palatino Linotype" w:cs="Arial"/>
          <w:sz w:val="23"/>
          <w:szCs w:val="23"/>
        </w:rPr>
        <w:t xml:space="preserve">. </w:t>
      </w:r>
    </w:p>
    <w:p w:rsidR="007A22E2" w:rsidRPr="00D12EC2" w:rsidRDefault="007A22E2"/>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7A22E2" w:rsidRPr="00D12EC2" w:rsidTr="00F91B83">
        <w:trPr>
          <w:trHeight w:val="1953"/>
        </w:trPr>
        <w:tc>
          <w:tcPr>
            <w:tcW w:w="8838" w:type="dxa"/>
            <w:vAlign w:val="center"/>
          </w:tcPr>
          <w:p w:rsidR="007A22E2" w:rsidRPr="00D12EC2" w:rsidRDefault="007A22E2" w:rsidP="00F91B83">
            <w:pPr>
              <w:jc w:val="both"/>
              <w:rPr>
                <w:rFonts w:ascii="Palatino Linotype" w:hAnsi="Palatino Linotype" w:cs="Arial"/>
                <w:b/>
                <w:sz w:val="23"/>
                <w:szCs w:val="23"/>
              </w:rPr>
            </w:pPr>
          </w:p>
          <w:p w:rsidR="007A22E2" w:rsidRPr="00D12EC2" w:rsidRDefault="007A22E2" w:rsidP="00F91B83">
            <w:pPr>
              <w:jc w:val="both"/>
              <w:rPr>
                <w:rFonts w:ascii="Palatino Linotype" w:hAnsi="Palatino Linotype" w:cs="Arial"/>
                <w:b/>
                <w:sz w:val="23"/>
                <w:szCs w:val="23"/>
              </w:rPr>
            </w:pPr>
          </w:p>
          <w:p w:rsidR="007A22E2" w:rsidRPr="00D12EC2" w:rsidRDefault="007A22E2" w:rsidP="00F91B83">
            <w:pPr>
              <w:rPr>
                <w:rFonts w:ascii="Palatino Linotype" w:hAnsi="Palatino Linotype" w:cs="Arial"/>
                <w:b/>
                <w:sz w:val="23"/>
                <w:szCs w:val="23"/>
              </w:rPr>
            </w:pPr>
            <w:r w:rsidRPr="00D12EC2">
              <w:rPr>
                <w:rFonts w:ascii="Palatino Linotype" w:hAnsi="Palatino Linotype" w:cs="Arial"/>
                <w:b/>
                <w:sz w:val="23"/>
                <w:szCs w:val="23"/>
              </w:rPr>
              <w:t xml:space="preserve">            Javier Martínez Cruz                                 </w:t>
            </w:r>
            <w:r w:rsidRPr="00D12EC2">
              <w:rPr>
                <w:rFonts w:ascii="Palatino Linotype" w:hAnsi="Palatino Linotype" w:cs="Arial"/>
                <w:b/>
                <w:sz w:val="23"/>
                <w:szCs w:val="23"/>
              </w:rPr>
              <w:t xml:space="preserve">  </w:t>
            </w:r>
            <w:r w:rsidRPr="00D12EC2">
              <w:rPr>
                <w:rFonts w:ascii="Palatino Linotype" w:hAnsi="Palatino Linotype" w:cs="Arial"/>
                <w:b/>
                <w:sz w:val="23"/>
                <w:szCs w:val="23"/>
                <w:lang w:val="es-ES"/>
              </w:rPr>
              <w:t>Zulema Martínez Sánchez</w:t>
            </w:r>
            <w:r w:rsidRPr="00D12EC2">
              <w:rPr>
                <w:rFonts w:ascii="Palatino Linotype" w:hAnsi="Palatino Linotype" w:cs="Arial"/>
                <w:b/>
                <w:sz w:val="23"/>
                <w:szCs w:val="23"/>
              </w:rPr>
              <w:t xml:space="preserve"> </w:t>
            </w:r>
          </w:p>
          <w:p w:rsidR="007A22E2" w:rsidRPr="00D12EC2" w:rsidRDefault="007A22E2" w:rsidP="00F91B83">
            <w:pPr>
              <w:rPr>
                <w:rFonts w:ascii="Palatino Linotype" w:hAnsi="Palatino Linotype" w:cs="Arial"/>
                <w:b/>
                <w:sz w:val="23"/>
                <w:szCs w:val="23"/>
              </w:rPr>
            </w:pPr>
            <w:r w:rsidRPr="00D12EC2">
              <w:rPr>
                <w:rFonts w:ascii="Palatino Linotype" w:hAnsi="Palatino Linotype" w:cs="Arial"/>
                <w:sz w:val="23"/>
                <w:szCs w:val="23"/>
              </w:rPr>
              <w:t xml:space="preserve">                  Comisionado</w:t>
            </w:r>
            <w:r w:rsidRPr="00D12EC2">
              <w:rPr>
                <w:rFonts w:ascii="Palatino Linotype" w:hAnsi="Palatino Linotype" w:cs="Arial"/>
                <w:b/>
                <w:sz w:val="23"/>
                <w:szCs w:val="23"/>
              </w:rPr>
              <w:t xml:space="preserve">                                                        </w:t>
            </w:r>
            <w:r w:rsidRPr="00D12EC2">
              <w:rPr>
                <w:rFonts w:ascii="Palatino Linotype" w:hAnsi="Palatino Linotype" w:cs="Arial"/>
                <w:sz w:val="23"/>
                <w:szCs w:val="23"/>
              </w:rPr>
              <w:t>Comisionada</w:t>
            </w:r>
            <w:r w:rsidRPr="00D12EC2">
              <w:rPr>
                <w:rFonts w:ascii="Palatino Linotype" w:hAnsi="Palatino Linotype" w:cs="Arial"/>
                <w:b/>
                <w:sz w:val="23"/>
                <w:szCs w:val="23"/>
              </w:rPr>
              <w:t xml:space="preserve">                                 </w:t>
            </w:r>
          </w:p>
          <w:p w:rsidR="007A22E2" w:rsidRPr="00D12EC2" w:rsidRDefault="007A22E2" w:rsidP="00F91B83">
            <w:pPr>
              <w:rPr>
                <w:rFonts w:ascii="Palatino Linotype" w:hAnsi="Palatino Linotype" w:cs="Arial"/>
                <w:sz w:val="23"/>
                <w:szCs w:val="23"/>
              </w:rPr>
            </w:pPr>
            <w:r w:rsidRPr="00D12EC2">
              <w:rPr>
                <w:rFonts w:ascii="Palatino Linotype" w:hAnsi="Palatino Linotype" w:cs="Arial"/>
                <w:sz w:val="23"/>
                <w:szCs w:val="23"/>
              </w:rPr>
              <w:t xml:space="preserve">                     </w:t>
            </w:r>
            <w:r w:rsidRPr="00D12EC2">
              <w:rPr>
                <w:rFonts w:ascii="Palatino Linotype" w:hAnsi="Palatino Linotype"/>
                <w:sz w:val="23"/>
                <w:szCs w:val="23"/>
              </w:rPr>
              <w:t xml:space="preserve">(Rúbrica)             </w:t>
            </w:r>
            <w:r w:rsidRPr="00D12EC2">
              <w:rPr>
                <w:rFonts w:ascii="Palatino Linotype" w:hAnsi="Palatino Linotype" w:cs="Arial"/>
                <w:sz w:val="23"/>
                <w:szCs w:val="23"/>
              </w:rPr>
              <w:t xml:space="preserve">                                                    </w:t>
            </w:r>
            <w:r w:rsidRPr="00D12EC2">
              <w:rPr>
                <w:rFonts w:ascii="Palatino Linotype" w:hAnsi="Palatino Linotype"/>
                <w:sz w:val="23"/>
                <w:szCs w:val="23"/>
              </w:rPr>
              <w:t>(Rúbrica)</w:t>
            </w:r>
          </w:p>
          <w:p w:rsidR="007A22E2" w:rsidRPr="00D12EC2" w:rsidRDefault="007A22E2" w:rsidP="00F91B83">
            <w:pPr>
              <w:rPr>
                <w:rFonts w:ascii="Palatino Linotype" w:hAnsi="Palatino Linotype"/>
                <w:sz w:val="23"/>
                <w:szCs w:val="23"/>
              </w:rPr>
            </w:pPr>
            <w:r w:rsidRPr="00D12EC2">
              <w:rPr>
                <w:rFonts w:ascii="Palatino Linotype" w:hAnsi="Palatino Linotype"/>
                <w:sz w:val="23"/>
                <w:szCs w:val="23"/>
              </w:rPr>
              <w:t xml:space="preserve">                                                                                          </w:t>
            </w:r>
          </w:p>
        </w:tc>
      </w:tr>
      <w:tr w:rsidR="007A22E2" w:rsidRPr="004D12FC" w:rsidTr="00F91B83">
        <w:trPr>
          <w:trHeight w:val="1544"/>
        </w:trPr>
        <w:tc>
          <w:tcPr>
            <w:tcW w:w="8838" w:type="dxa"/>
            <w:vAlign w:val="center"/>
          </w:tcPr>
          <w:p w:rsidR="007A22E2" w:rsidRPr="00D12EC2" w:rsidRDefault="007A22E2" w:rsidP="00F91B83">
            <w:pPr>
              <w:jc w:val="center"/>
              <w:rPr>
                <w:rFonts w:ascii="Palatino Linotype" w:hAnsi="Palatino Linotype" w:cs="Arial"/>
                <w:b/>
                <w:sz w:val="23"/>
                <w:szCs w:val="23"/>
              </w:rPr>
            </w:pPr>
          </w:p>
          <w:p w:rsidR="007A22E2" w:rsidRPr="00D12EC2" w:rsidRDefault="007A22E2" w:rsidP="00F91B83">
            <w:pPr>
              <w:rPr>
                <w:rFonts w:ascii="Palatino Linotype" w:hAnsi="Palatino Linotype" w:cs="Arial"/>
                <w:b/>
                <w:sz w:val="23"/>
                <w:szCs w:val="23"/>
              </w:rPr>
            </w:pPr>
          </w:p>
          <w:p w:rsidR="007A22E2" w:rsidRPr="00D12EC2" w:rsidRDefault="007A22E2" w:rsidP="00F91B83">
            <w:pPr>
              <w:rPr>
                <w:rFonts w:ascii="Palatino Linotype" w:hAnsi="Palatino Linotype" w:cs="Arial"/>
                <w:b/>
                <w:sz w:val="23"/>
                <w:szCs w:val="23"/>
              </w:rPr>
            </w:pPr>
          </w:p>
          <w:p w:rsidR="004D12FC" w:rsidRPr="00D12EC2" w:rsidRDefault="004D12FC" w:rsidP="00F91B83">
            <w:pPr>
              <w:rPr>
                <w:rFonts w:ascii="Palatino Linotype" w:hAnsi="Palatino Linotype" w:cs="Arial"/>
                <w:b/>
                <w:sz w:val="23"/>
                <w:szCs w:val="23"/>
              </w:rPr>
            </w:pPr>
          </w:p>
          <w:p w:rsidR="007A22E2" w:rsidRPr="00D12EC2" w:rsidRDefault="007A22E2" w:rsidP="00F91B83">
            <w:pPr>
              <w:rPr>
                <w:rFonts w:ascii="Palatino Linotype" w:hAnsi="Palatino Linotype" w:cs="Arial"/>
                <w:b/>
                <w:sz w:val="23"/>
                <w:szCs w:val="23"/>
              </w:rPr>
            </w:pPr>
          </w:p>
          <w:p w:rsidR="007A22E2" w:rsidRPr="00D12EC2" w:rsidRDefault="007A22E2" w:rsidP="00F91B83">
            <w:pPr>
              <w:rPr>
                <w:rFonts w:ascii="Palatino Linotype" w:hAnsi="Palatino Linotype" w:cs="Arial"/>
                <w:b/>
                <w:sz w:val="23"/>
                <w:szCs w:val="23"/>
              </w:rPr>
            </w:pPr>
          </w:p>
          <w:p w:rsidR="007A22E2" w:rsidRPr="00D12EC2" w:rsidRDefault="007A22E2" w:rsidP="00F91B83">
            <w:pPr>
              <w:jc w:val="center"/>
              <w:rPr>
                <w:rFonts w:ascii="Palatino Linotype" w:hAnsi="Palatino Linotype"/>
                <w:b/>
                <w:sz w:val="23"/>
                <w:szCs w:val="23"/>
              </w:rPr>
            </w:pPr>
            <w:r w:rsidRPr="00D12EC2">
              <w:rPr>
                <w:rFonts w:ascii="Palatino Linotype" w:hAnsi="Palatino Linotype" w:cs="Arial"/>
                <w:b/>
                <w:sz w:val="23"/>
                <w:szCs w:val="23"/>
              </w:rPr>
              <w:t>Luis Gustavo Parra Noriega</w:t>
            </w:r>
          </w:p>
          <w:p w:rsidR="007A22E2" w:rsidRPr="00D12EC2" w:rsidRDefault="007A22E2" w:rsidP="00F91B83">
            <w:pPr>
              <w:jc w:val="center"/>
              <w:rPr>
                <w:rFonts w:ascii="Palatino Linotype" w:hAnsi="Palatino Linotype"/>
                <w:sz w:val="23"/>
                <w:szCs w:val="23"/>
              </w:rPr>
            </w:pPr>
            <w:r w:rsidRPr="00D12EC2">
              <w:rPr>
                <w:rFonts w:ascii="Palatino Linotype" w:hAnsi="Palatino Linotype"/>
                <w:sz w:val="23"/>
                <w:szCs w:val="23"/>
              </w:rPr>
              <w:t>Comisionado</w:t>
            </w:r>
          </w:p>
          <w:p w:rsidR="007A22E2" w:rsidRPr="004D12FC" w:rsidRDefault="007A22E2" w:rsidP="00F91B83">
            <w:pPr>
              <w:jc w:val="center"/>
              <w:rPr>
                <w:rFonts w:ascii="Palatino Linotype" w:hAnsi="Palatino Linotype"/>
                <w:sz w:val="23"/>
                <w:szCs w:val="23"/>
              </w:rPr>
            </w:pPr>
            <w:r w:rsidRPr="00D12EC2">
              <w:rPr>
                <w:rFonts w:ascii="Palatino Linotype" w:hAnsi="Palatino Linotype"/>
                <w:sz w:val="23"/>
                <w:szCs w:val="23"/>
              </w:rPr>
              <w:t>(Rúbrica)</w:t>
            </w:r>
          </w:p>
          <w:p w:rsidR="007A22E2" w:rsidRPr="004D12FC" w:rsidRDefault="007A22E2" w:rsidP="00F91B83">
            <w:pPr>
              <w:jc w:val="center"/>
              <w:rPr>
                <w:rFonts w:ascii="Palatino Linotype" w:hAnsi="Palatino Linotype"/>
                <w:sz w:val="23"/>
                <w:szCs w:val="23"/>
              </w:rPr>
            </w:pPr>
          </w:p>
        </w:tc>
      </w:tr>
    </w:tbl>
    <w:p w:rsidR="007A22E2" w:rsidRDefault="007A22E2">
      <w:bookmarkStart w:id="0" w:name="_GoBack"/>
      <w:bookmarkEnd w:id="0"/>
    </w:p>
    <w:sectPr w:rsidR="007A22E2"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50" w:rsidRDefault="00677250" w:rsidP="00DB5E3A">
      <w:pPr>
        <w:spacing w:after="0" w:line="240" w:lineRule="auto"/>
      </w:pPr>
      <w:r>
        <w:separator/>
      </w:r>
    </w:p>
  </w:endnote>
  <w:endnote w:type="continuationSeparator" w:id="0">
    <w:p w:rsidR="00677250" w:rsidRDefault="00677250" w:rsidP="00DB5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677250"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12EC2">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12EC2">
      <w:rPr>
        <w:rFonts w:ascii="Arial" w:hAnsi="Arial" w:cs="Arial"/>
        <w:b/>
        <w:bCs/>
        <w:noProof/>
        <w:sz w:val="20"/>
        <w:szCs w:val="20"/>
      </w:rPr>
      <w:t>9</w:t>
    </w:r>
    <w:r w:rsidRPr="00986599">
      <w:rPr>
        <w:rFonts w:ascii="Arial" w:hAnsi="Arial" w:cs="Arial"/>
        <w:b/>
        <w:bCs/>
        <w:sz w:val="20"/>
        <w:szCs w:val="20"/>
      </w:rPr>
      <w:fldChar w:fldCharType="end"/>
    </w:r>
  </w:p>
  <w:p w:rsidR="00D758BE" w:rsidRDefault="0067725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50" w:rsidRDefault="00677250" w:rsidP="00DB5E3A">
      <w:pPr>
        <w:spacing w:after="0" w:line="240" w:lineRule="auto"/>
      </w:pPr>
      <w:r>
        <w:separator/>
      </w:r>
    </w:p>
  </w:footnote>
  <w:footnote w:type="continuationSeparator" w:id="0">
    <w:p w:rsidR="00677250" w:rsidRDefault="00677250" w:rsidP="00DB5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677250">
    <w:pPr>
      <w:pStyle w:val="Encabezado"/>
    </w:pPr>
    <w:r>
      <w:rPr>
        <w:noProof/>
        <w:lang w:val="es-MX" w:eastAsia="es-MX"/>
      </w:rPr>
      <mc:AlternateContent>
        <mc:Choice Requires="wps">
          <w:drawing>
            <wp:anchor distT="0" distB="0" distL="114300" distR="114300" simplePos="0" relativeHeight="251659264" behindDoc="1" locked="0" layoutInCell="0" allowOverlap="1" wp14:anchorId="27C5A2D1" wp14:editId="6403F009">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67725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5A2D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677250"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677250"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061C6762" wp14:editId="0AB6D37A">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677250" w:rsidP="007263BB">
    <w:pPr>
      <w:pStyle w:val="Encabezado"/>
      <w:jc w:val="right"/>
      <w:rPr>
        <w:rFonts w:ascii="Arial" w:hAnsi="Arial" w:cs="Arial"/>
        <w:sz w:val="20"/>
        <w:szCs w:val="20"/>
      </w:rPr>
    </w:pPr>
  </w:p>
  <w:p w:rsidR="00D758BE" w:rsidRDefault="00677250" w:rsidP="007263BB">
    <w:pPr>
      <w:pStyle w:val="Encabezado"/>
      <w:jc w:val="right"/>
      <w:rPr>
        <w:rFonts w:ascii="Arial" w:hAnsi="Arial" w:cs="Arial"/>
        <w:sz w:val="20"/>
        <w:szCs w:val="20"/>
      </w:rPr>
    </w:pPr>
  </w:p>
  <w:p w:rsidR="00706042" w:rsidRPr="00563D0F" w:rsidRDefault="00677250"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 CONCURRENTE</w:t>
    </w:r>
  </w:p>
  <w:p w:rsidR="00EE5FB0" w:rsidRPr="00563D0F" w:rsidRDefault="00677250"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B85D0A">
      <w:rPr>
        <w:rFonts w:ascii="Palatino Linotype" w:hAnsi="Palatino Linotype" w:cs="Arial"/>
        <w:b/>
        <w:sz w:val="20"/>
        <w:szCs w:val="20"/>
      </w:rPr>
      <w:t>3902</w:t>
    </w:r>
    <w:r>
      <w:rPr>
        <w:rFonts w:ascii="Palatino Linotype" w:hAnsi="Palatino Linotype" w:cs="Arial"/>
        <w:b/>
        <w:sz w:val="20"/>
        <w:szCs w:val="20"/>
      </w:rPr>
      <w:t>/INFOEM/IP/RR/2018</w:t>
    </w:r>
  </w:p>
  <w:p w:rsidR="00D758BE" w:rsidRDefault="00677250" w:rsidP="007263BB">
    <w:pPr>
      <w:pStyle w:val="Encabezado"/>
      <w:jc w:val="right"/>
      <w:rPr>
        <w:rFonts w:ascii="Palatino Linotype" w:hAnsi="Palatino Linotype" w:cs="Arial"/>
        <w:sz w:val="20"/>
        <w:szCs w:val="20"/>
      </w:rPr>
    </w:pPr>
  </w:p>
  <w:p w:rsidR="00233AB2" w:rsidRDefault="00677250"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12024"/>
    <w:multiLevelType w:val="hybridMultilevel"/>
    <w:tmpl w:val="6DAE32F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BE7668"/>
    <w:multiLevelType w:val="hybridMultilevel"/>
    <w:tmpl w:val="75C6C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3A"/>
    <w:rsid w:val="001A5D16"/>
    <w:rsid w:val="001B45EE"/>
    <w:rsid w:val="003C3F0A"/>
    <w:rsid w:val="0045323E"/>
    <w:rsid w:val="004D12FC"/>
    <w:rsid w:val="00677250"/>
    <w:rsid w:val="007A22E2"/>
    <w:rsid w:val="0080705E"/>
    <w:rsid w:val="008363D6"/>
    <w:rsid w:val="00AA0FD0"/>
    <w:rsid w:val="00B07FD4"/>
    <w:rsid w:val="00B85D0A"/>
    <w:rsid w:val="00CA444A"/>
    <w:rsid w:val="00D12EC2"/>
    <w:rsid w:val="00DB5E3A"/>
    <w:rsid w:val="00E91BE3"/>
    <w:rsid w:val="00FA20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E1E68-995D-4702-92EF-A4FB3204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3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E3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E3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B5E3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E3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DB5E3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B5E3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B5E3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DB5E3A"/>
    <w:rPr>
      <w:vertAlign w:val="superscript"/>
    </w:rPr>
  </w:style>
  <w:style w:type="character" w:styleId="Hipervnculo">
    <w:name w:val="Hyperlink"/>
    <w:basedOn w:val="Fuentedeprrafopredeter"/>
    <w:uiPriority w:val="99"/>
    <w:unhideWhenUsed/>
    <w:rsid w:val="00DB5E3A"/>
    <w:rPr>
      <w:color w:val="0563C1" w:themeColor="hyperlink"/>
      <w:u w:val="single"/>
    </w:rPr>
  </w:style>
  <w:style w:type="paragraph" w:styleId="Prrafodelista">
    <w:name w:val="List Paragraph"/>
    <w:basedOn w:val="Normal"/>
    <w:uiPriority w:val="34"/>
    <w:qFormat/>
    <w:rsid w:val="00DB5E3A"/>
    <w:pPr>
      <w:ind w:left="720"/>
      <w:contextualSpacing/>
    </w:pPr>
  </w:style>
  <w:style w:type="table" w:styleId="Tablaconcuadrcula">
    <w:name w:val="Table Grid"/>
    <w:basedOn w:val="Tablanormal"/>
    <w:uiPriority w:val="59"/>
    <w:rsid w:val="007A22E2"/>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
    <w:link w:val="SinespaciadoCar"/>
    <w:uiPriority w:val="1"/>
    <w:qFormat/>
    <w:rsid w:val="00CA444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A444A"/>
    <w:rPr>
      <w:rFonts w:ascii="Times New Roman" w:eastAsia="Times New Roman" w:hAnsi="Times New Roman" w:cs="Times New Roman"/>
      <w:sz w:val="24"/>
      <w:szCs w:val="24"/>
      <w:lang w:eastAsia="es-ES"/>
    </w:rPr>
  </w:style>
  <w:style w:type="character" w:styleId="Textoennegrita">
    <w:name w:val="Strong"/>
    <w:uiPriority w:val="22"/>
    <w:qFormat/>
    <w:rsid w:val="00CA444A"/>
    <w:rPr>
      <w:b/>
      <w:bCs/>
    </w:rPr>
  </w:style>
  <w:style w:type="paragraph" w:styleId="Textodeglobo">
    <w:name w:val="Balloon Text"/>
    <w:basedOn w:val="Normal"/>
    <w:link w:val="TextodegloboCar"/>
    <w:uiPriority w:val="99"/>
    <w:semiHidden/>
    <w:unhideWhenUsed/>
    <w:rsid w:val="00D12E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E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2450</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2018-12-11T18:09:00Z</cp:lastPrinted>
  <dcterms:created xsi:type="dcterms:W3CDTF">2018-12-11T15:44:00Z</dcterms:created>
  <dcterms:modified xsi:type="dcterms:W3CDTF">2018-12-11T18:13:00Z</dcterms:modified>
</cp:coreProperties>
</file>